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40F215" w14:textId="77777777" w:rsidR="003B597C" w:rsidRPr="003B597C" w:rsidRDefault="003B597C" w:rsidP="003B597C">
      <w:pPr>
        <w:widowControl w:val="0"/>
        <w:autoSpaceDE w:val="0"/>
        <w:autoSpaceDN w:val="0"/>
        <w:spacing w:after="0" w:line="240" w:lineRule="auto"/>
        <w:jc w:val="center"/>
        <w:rPr>
          <w:rFonts w:ascii="Calibri" w:eastAsia="Times New Roman" w:hAnsi="Calibri" w:cs="Calibri"/>
          <w:b/>
          <w:szCs w:val="20"/>
          <w:lang w:eastAsia="ru-RU"/>
        </w:rPr>
      </w:pPr>
      <w:r w:rsidRPr="003B597C">
        <w:rPr>
          <w:rFonts w:ascii="Calibri" w:eastAsia="Times New Roman" w:hAnsi="Calibri" w:cs="Calibri"/>
          <w:b/>
          <w:szCs w:val="20"/>
          <w:lang w:eastAsia="ru-RU"/>
        </w:rPr>
        <w:t>МИНИСТЕРСТВО СТРОИТЕЛЬСТВА И ЖИЛИЩНО-КОММУНАЛЬНОГО</w:t>
      </w:r>
    </w:p>
    <w:p w14:paraId="6C93C414" w14:textId="77777777" w:rsidR="003B597C" w:rsidRPr="003B597C" w:rsidRDefault="003B597C" w:rsidP="003B597C">
      <w:pPr>
        <w:widowControl w:val="0"/>
        <w:autoSpaceDE w:val="0"/>
        <w:autoSpaceDN w:val="0"/>
        <w:spacing w:after="0" w:line="240" w:lineRule="auto"/>
        <w:jc w:val="center"/>
        <w:rPr>
          <w:rFonts w:ascii="Calibri" w:eastAsia="Times New Roman" w:hAnsi="Calibri" w:cs="Calibri"/>
          <w:b/>
          <w:szCs w:val="20"/>
          <w:lang w:eastAsia="ru-RU"/>
        </w:rPr>
      </w:pPr>
      <w:r w:rsidRPr="003B597C">
        <w:rPr>
          <w:rFonts w:ascii="Calibri" w:eastAsia="Times New Roman" w:hAnsi="Calibri" w:cs="Calibri"/>
          <w:b/>
          <w:szCs w:val="20"/>
          <w:lang w:eastAsia="ru-RU"/>
        </w:rPr>
        <w:t>ХОЗЯЙСТВА РОССИЙСКОЙ ФЕДЕРАЦИИ</w:t>
      </w:r>
    </w:p>
    <w:p w14:paraId="7BD612CC" w14:textId="77777777" w:rsidR="003B597C" w:rsidRPr="003B597C" w:rsidRDefault="003B597C" w:rsidP="003B597C">
      <w:pPr>
        <w:widowControl w:val="0"/>
        <w:autoSpaceDE w:val="0"/>
        <w:autoSpaceDN w:val="0"/>
        <w:spacing w:after="0" w:line="240" w:lineRule="auto"/>
        <w:jc w:val="center"/>
        <w:rPr>
          <w:rFonts w:ascii="Calibri" w:eastAsia="Times New Roman" w:hAnsi="Calibri" w:cs="Calibri"/>
          <w:b/>
          <w:szCs w:val="20"/>
          <w:lang w:eastAsia="ru-RU"/>
        </w:rPr>
      </w:pPr>
    </w:p>
    <w:p w14:paraId="5E9C0CBA" w14:textId="77777777" w:rsidR="003B597C" w:rsidRPr="003B597C" w:rsidRDefault="003B597C" w:rsidP="003B597C">
      <w:pPr>
        <w:widowControl w:val="0"/>
        <w:autoSpaceDE w:val="0"/>
        <w:autoSpaceDN w:val="0"/>
        <w:spacing w:after="0" w:line="240" w:lineRule="auto"/>
        <w:jc w:val="center"/>
        <w:rPr>
          <w:rFonts w:ascii="Calibri" w:eastAsia="Times New Roman" w:hAnsi="Calibri" w:cs="Calibri"/>
          <w:b/>
          <w:szCs w:val="20"/>
          <w:lang w:eastAsia="ru-RU"/>
        </w:rPr>
      </w:pPr>
      <w:r w:rsidRPr="003B597C">
        <w:rPr>
          <w:rFonts w:ascii="Calibri" w:eastAsia="Times New Roman" w:hAnsi="Calibri" w:cs="Calibri"/>
          <w:b/>
          <w:szCs w:val="20"/>
          <w:lang w:eastAsia="ru-RU"/>
        </w:rPr>
        <w:t>ПИСЬМО</w:t>
      </w:r>
    </w:p>
    <w:p w14:paraId="23A115B6" w14:textId="77777777" w:rsidR="003B597C" w:rsidRPr="003B597C" w:rsidRDefault="003B597C" w:rsidP="003B597C">
      <w:pPr>
        <w:widowControl w:val="0"/>
        <w:autoSpaceDE w:val="0"/>
        <w:autoSpaceDN w:val="0"/>
        <w:spacing w:after="0" w:line="240" w:lineRule="auto"/>
        <w:jc w:val="center"/>
        <w:rPr>
          <w:rFonts w:ascii="Calibri" w:eastAsia="Times New Roman" w:hAnsi="Calibri" w:cs="Calibri"/>
          <w:b/>
          <w:szCs w:val="20"/>
          <w:lang w:eastAsia="ru-RU"/>
        </w:rPr>
      </w:pPr>
      <w:r w:rsidRPr="003B597C">
        <w:rPr>
          <w:rFonts w:ascii="Calibri" w:eastAsia="Times New Roman" w:hAnsi="Calibri" w:cs="Calibri"/>
          <w:b/>
          <w:szCs w:val="20"/>
          <w:lang w:eastAsia="ru-RU"/>
        </w:rPr>
        <w:t>от 14 февраля 2022 г. N 5167-ИТ/09</w:t>
      </w:r>
    </w:p>
    <w:p w14:paraId="75CAAE4C" w14:textId="77777777" w:rsidR="003B597C" w:rsidRPr="003B597C" w:rsidRDefault="003B597C" w:rsidP="003B597C">
      <w:pPr>
        <w:widowControl w:val="0"/>
        <w:autoSpaceDE w:val="0"/>
        <w:autoSpaceDN w:val="0"/>
        <w:spacing w:after="0" w:line="240" w:lineRule="auto"/>
        <w:jc w:val="both"/>
        <w:rPr>
          <w:rFonts w:ascii="Calibri" w:eastAsia="Times New Roman" w:hAnsi="Calibri" w:cs="Calibri"/>
          <w:szCs w:val="20"/>
          <w:lang w:eastAsia="ru-RU"/>
        </w:rPr>
      </w:pPr>
    </w:p>
    <w:p w14:paraId="7B8D88E0" w14:textId="77777777" w:rsidR="003B597C" w:rsidRPr="003B597C" w:rsidRDefault="003B597C" w:rsidP="003B597C">
      <w:pPr>
        <w:widowControl w:val="0"/>
        <w:autoSpaceDE w:val="0"/>
        <w:autoSpaceDN w:val="0"/>
        <w:spacing w:after="0" w:line="240" w:lineRule="auto"/>
        <w:ind w:firstLine="540"/>
        <w:jc w:val="both"/>
        <w:rPr>
          <w:rFonts w:ascii="Calibri" w:eastAsia="Times New Roman" w:hAnsi="Calibri" w:cs="Calibri"/>
          <w:szCs w:val="20"/>
          <w:lang w:eastAsia="ru-RU"/>
        </w:rPr>
      </w:pPr>
      <w:r w:rsidRPr="003B597C">
        <w:rPr>
          <w:rFonts w:ascii="Calibri" w:eastAsia="Times New Roman" w:hAnsi="Calibri" w:cs="Calibri"/>
          <w:szCs w:val="20"/>
          <w:lang w:eastAsia="ru-RU"/>
        </w:rPr>
        <w:t>Департамент ценообразования и ресурсного обеспечения строительства Министерства строительства и жилищно-коммунального хозяйства Российской Федерации рассмотрел обращения и в рамках компетенции сообщает.</w:t>
      </w:r>
    </w:p>
    <w:p w14:paraId="7FC8EF89" w14:textId="77777777" w:rsidR="003B597C" w:rsidRPr="003B597C" w:rsidRDefault="003B597C" w:rsidP="003B59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3B597C">
        <w:rPr>
          <w:rFonts w:ascii="Calibri" w:eastAsia="Times New Roman" w:hAnsi="Calibri" w:cs="Calibri"/>
          <w:szCs w:val="20"/>
          <w:lang w:eastAsia="ru-RU"/>
        </w:rPr>
        <w:t xml:space="preserve">Определение начальной (максимальной) цены контракта (далее - НМЦК) осуществляется государственными или муниципальными заказчиками с применением общих правил, установленных </w:t>
      </w:r>
      <w:hyperlink r:id="rId4" w:history="1">
        <w:r w:rsidRPr="003B597C">
          <w:rPr>
            <w:rFonts w:ascii="Calibri" w:eastAsia="Times New Roman" w:hAnsi="Calibri" w:cs="Calibri"/>
            <w:color w:val="0000FF"/>
            <w:szCs w:val="20"/>
            <w:lang w:eastAsia="ru-RU"/>
          </w:rPr>
          <w:t>Порядком</w:t>
        </w:r>
      </w:hyperlink>
      <w:r w:rsidRPr="003B597C">
        <w:rPr>
          <w:rFonts w:ascii="Calibri" w:eastAsia="Times New Roman" w:hAnsi="Calibri" w:cs="Calibri"/>
          <w:szCs w:val="20"/>
          <w:lang w:eastAsia="ru-RU"/>
        </w:rPr>
        <w:t xml:space="preserve">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при осуществлении закупок в сфере градостроительной деятельности (за исключением территориального планирования), утвержденным приказом Минстроя России от 23 декабря 2019 г. N 841/</w:t>
      </w:r>
      <w:proofErr w:type="spellStart"/>
      <w:r w:rsidRPr="003B597C">
        <w:rPr>
          <w:rFonts w:ascii="Calibri" w:eastAsia="Times New Roman" w:hAnsi="Calibri" w:cs="Calibri"/>
          <w:szCs w:val="20"/>
          <w:lang w:eastAsia="ru-RU"/>
        </w:rPr>
        <w:t>пр</w:t>
      </w:r>
      <w:proofErr w:type="spellEnd"/>
      <w:r w:rsidRPr="003B597C">
        <w:rPr>
          <w:rFonts w:ascii="Calibri" w:eastAsia="Times New Roman" w:hAnsi="Calibri" w:cs="Calibri"/>
          <w:szCs w:val="20"/>
          <w:lang w:eastAsia="ru-RU"/>
        </w:rPr>
        <w:t xml:space="preserve"> (далее - Порядок определения НМЦК).</w:t>
      </w:r>
    </w:p>
    <w:p w14:paraId="5A9A45D7" w14:textId="77777777" w:rsidR="003B597C" w:rsidRPr="003B597C" w:rsidRDefault="003B597C" w:rsidP="003B59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3B597C">
        <w:rPr>
          <w:rFonts w:ascii="Calibri" w:eastAsia="Times New Roman" w:hAnsi="Calibri" w:cs="Calibri"/>
          <w:szCs w:val="20"/>
          <w:lang w:eastAsia="ru-RU"/>
        </w:rPr>
        <w:t xml:space="preserve">Согласно </w:t>
      </w:r>
      <w:hyperlink r:id="rId5" w:history="1">
        <w:r w:rsidRPr="003B597C">
          <w:rPr>
            <w:rFonts w:ascii="Calibri" w:eastAsia="Times New Roman" w:hAnsi="Calibri" w:cs="Calibri"/>
            <w:color w:val="0000FF"/>
            <w:szCs w:val="20"/>
            <w:lang w:eastAsia="ru-RU"/>
          </w:rPr>
          <w:t>пункту 8</w:t>
        </w:r>
      </w:hyperlink>
      <w:r w:rsidRPr="003B597C">
        <w:rPr>
          <w:rFonts w:ascii="Calibri" w:eastAsia="Times New Roman" w:hAnsi="Calibri" w:cs="Calibri"/>
          <w:szCs w:val="20"/>
          <w:lang w:eastAsia="ru-RU"/>
        </w:rPr>
        <w:t xml:space="preserve"> Порядка определения НМЦК при осуществлении закупки подрядных работ по строительству, реконструкции, капитальному ремонту, сносу объекта капитального строительства определяется на основании проектной документации, утвержденной в порядке, установленном законодательством о градостроительной деятельности с применением официальной статистической информации об индексах цен на продукцию (затраты, услуги) инвестиционного назначения по видам экономической деятельности (строительство), публикуемой Федеральной службой государственной статистики для соответствующего периода или индексов фактической инфляции (при наличии), установленных уполномоченными органами исполнительной власти субъектов Российской Федерации, в случае осуществления закупок за счет средств бюджета субъекта Российской Федерации, а также индексов-дефляторов Министерства экономического развития Российской Федерации по строке "Инвестиции в основной капитал (капитальные вложения)" или прогнозных индексов инфляции (при наличии), установленных уполномоченным органом исполнительной власти субъекта Российской Федерации, в случае осуществления закупок за счет средств бюджета субъекта Российской Федерации.</w:t>
      </w:r>
    </w:p>
    <w:p w14:paraId="6B7638AC" w14:textId="77777777" w:rsidR="003B597C" w:rsidRPr="003B597C" w:rsidRDefault="003B597C" w:rsidP="003B59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3B597C">
        <w:rPr>
          <w:rFonts w:ascii="Calibri" w:eastAsia="Times New Roman" w:hAnsi="Calibri" w:cs="Calibri"/>
          <w:szCs w:val="20"/>
          <w:lang w:eastAsia="ru-RU"/>
        </w:rPr>
        <w:t xml:space="preserve">При этом следует учитывать, что </w:t>
      </w:r>
      <w:hyperlink r:id="rId6" w:history="1">
        <w:r w:rsidRPr="003B597C">
          <w:rPr>
            <w:rFonts w:ascii="Calibri" w:eastAsia="Times New Roman" w:hAnsi="Calibri" w:cs="Calibri"/>
            <w:color w:val="0000FF"/>
            <w:szCs w:val="20"/>
            <w:lang w:eastAsia="ru-RU"/>
          </w:rPr>
          <w:t>пунктом 45(13)</w:t>
        </w:r>
      </w:hyperlink>
      <w:r w:rsidRPr="003B597C">
        <w:rPr>
          <w:rFonts w:ascii="Calibri" w:eastAsia="Times New Roman" w:hAnsi="Calibri" w:cs="Calibri"/>
          <w:szCs w:val="20"/>
          <w:lang w:eastAsia="ru-RU"/>
        </w:rPr>
        <w:t xml:space="preserve"> Положения об организации и проведения государственной экспертизы проектной документации и результатов инженерных изысканий, утвержденного постановлением Правительства Российской Федерации от 5 марта 2007 г. N 145 "О порядке организации и проведения государственной экспертизы проектной документации и результатов инженерных изысканий", установлено, что после получения положительного заключения государственной экспертизы, но до даты заключения государственного (муниципального) контракта (договора), предметом которого является выполнение работ по строительству, реконструкции, капитальному ремонту, сносу объектов капитального строительства, сохранению объектов культурного наследия (памятников истории и культуры) народов Российской Федерации, застройщик самостоятельно может пересчитать сметную стоимость, применив индексы изменения сметной стоимости строительства, действующие на дату пересчета сметной стоимости. Повторная проверка пересчитанной сметной стоимости не проводится. Такая сметная документация может быть направлена на повторную государственную экспертизу проектной документации в части проверки сметной стоимости по решению застройщика.</w:t>
      </w:r>
    </w:p>
    <w:p w14:paraId="31690A15" w14:textId="77777777" w:rsidR="003B597C" w:rsidRPr="003B597C" w:rsidRDefault="003B597C" w:rsidP="003B59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3B597C">
        <w:rPr>
          <w:rFonts w:ascii="Calibri" w:eastAsia="Times New Roman" w:hAnsi="Calibri" w:cs="Calibri"/>
          <w:szCs w:val="20"/>
          <w:lang w:eastAsia="ru-RU"/>
        </w:rPr>
        <w:t>Таким образом, если для определения НМЦК используется проектная (сметная) документация, разработанная на основании применяемой на дату формирования НМЦК сметно-нормативной базы, то для пересчета сметной стоимости работ в уровень цен на дату определения НМЦК используются индексы изменения сметной стоимости строительства, действующие на дату определения НМЦК.</w:t>
      </w:r>
    </w:p>
    <w:p w14:paraId="25B49B2D" w14:textId="77777777" w:rsidR="003B597C" w:rsidRPr="003B597C" w:rsidRDefault="003B597C" w:rsidP="003B59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3B597C">
        <w:rPr>
          <w:rFonts w:ascii="Calibri" w:eastAsia="Times New Roman" w:hAnsi="Calibri" w:cs="Calibri"/>
          <w:szCs w:val="20"/>
          <w:lang w:eastAsia="ru-RU"/>
        </w:rPr>
        <w:lastRenderedPageBreak/>
        <w:t>В случае, если проектная (сметная) документация разработана на основании сметно-нормативной базы, не применяемой на дату формирования НМЦК, то пересчет сметной стоимости работ в уровень цен на дату определения НМЦК осуществляется с использованием официальной статистической информации об индексах цен на продукцию (затраты, услуги) инвестиционного назначения по видам экономической деятельности (строительство), публикуемой Федеральной службой государственной статистики для соответствующего периода.</w:t>
      </w:r>
    </w:p>
    <w:p w14:paraId="1CB1D522" w14:textId="77777777" w:rsidR="003B597C" w:rsidRPr="003B597C" w:rsidRDefault="003B597C" w:rsidP="003B59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3B597C">
        <w:rPr>
          <w:rFonts w:ascii="Calibri" w:eastAsia="Times New Roman" w:hAnsi="Calibri" w:cs="Calibri"/>
          <w:szCs w:val="20"/>
          <w:lang w:eastAsia="ru-RU"/>
        </w:rPr>
        <w:t>Индексы цен на продукцию (затраты, услуги) инвестиционного назначения в целом по Российской Федерации, определяемые по виду экономической деятельности "Строительство" (далее - индексы Росстата), публикуются Росстатом в информационно-телекоммуникационной сети Интернет по адресу: https://www.fedstat.ru.</w:t>
      </w:r>
    </w:p>
    <w:p w14:paraId="6D4A2D46" w14:textId="77777777" w:rsidR="003B597C" w:rsidRPr="003B597C" w:rsidRDefault="003B597C" w:rsidP="003B59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3B597C">
        <w:rPr>
          <w:rFonts w:ascii="Calibri" w:eastAsia="Times New Roman" w:hAnsi="Calibri" w:cs="Calibri"/>
          <w:szCs w:val="20"/>
          <w:lang w:eastAsia="ru-RU"/>
        </w:rPr>
        <w:t>Индексы Росстата для субъекта Российской Федерации за период с 1 января 2005 г. по 31 декабря 2016 г. размещены по адресу: https://www.fedstat.ru/indicator/31111.</w:t>
      </w:r>
    </w:p>
    <w:p w14:paraId="51B7D1E9" w14:textId="77777777" w:rsidR="003B597C" w:rsidRPr="003B597C" w:rsidRDefault="003B597C" w:rsidP="003B59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3B597C">
        <w:rPr>
          <w:rFonts w:ascii="Calibri" w:eastAsia="Times New Roman" w:hAnsi="Calibri" w:cs="Calibri"/>
          <w:szCs w:val="20"/>
          <w:lang w:eastAsia="ru-RU"/>
        </w:rPr>
        <w:t>Индексы Росстата для субъекта Российской Федерации, начиная с 1 января 2017 г., размещены по адресу: https://www.fedstat.ru/indicator/57795.</w:t>
      </w:r>
    </w:p>
    <w:p w14:paraId="13FCBEAD" w14:textId="77777777" w:rsidR="003B597C" w:rsidRPr="003B597C" w:rsidRDefault="003B597C" w:rsidP="003B59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3B597C">
        <w:rPr>
          <w:rFonts w:ascii="Calibri" w:eastAsia="Times New Roman" w:hAnsi="Calibri" w:cs="Calibri"/>
          <w:szCs w:val="20"/>
          <w:lang w:eastAsia="ru-RU"/>
        </w:rPr>
        <w:t>Таким образом, индексы фактической инфляции применяются для учета инфляции от даты утверждения проектной документации (уровня цен утверждения проектной документации) до даты определения НМЦК, а индексы прогнозной инфляции от даты определения НМЦК с учетом периода исполнения контракта.</w:t>
      </w:r>
    </w:p>
    <w:p w14:paraId="622B9CF5" w14:textId="77777777" w:rsidR="003B597C" w:rsidRPr="003B597C" w:rsidRDefault="003B597C" w:rsidP="003B59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3B597C">
        <w:rPr>
          <w:rFonts w:ascii="Calibri" w:eastAsia="Times New Roman" w:hAnsi="Calibri" w:cs="Calibri"/>
          <w:szCs w:val="20"/>
          <w:lang w:eastAsia="ru-RU"/>
        </w:rPr>
        <w:t>В настоящее время актуальные индексы-дефляторы Минэкономразвития России по строке "Инвестиции в основной капитал" опубликованы на официальном сайте Минэкономразвития России в информационно-телекоммуникационной сети Интернет в разделе: "Деятельность / Макроэкономика / Прогнозы социально-экономического развития по адресу: https://www.economy.gov.ru/material/directions/makroec/prognozy_socialno_ekonomicheskogo_razvitiya/prognoz_socialno_ekonomicheskogo_razvitiya_rf_na_2022_god_i_na_planovyy_period_2023_i_2024_godov.html (далее - индексы на среднесрочный период).</w:t>
      </w:r>
    </w:p>
    <w:p w14:paraId="3E313FFE" w14:textId="77777777" w:rsidR="003B597C" w:rsidRPr="003B597C" w:rsidRDefault="003B597C" w:rsidP="003B59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3B597C">
        <w:rPr>
          <w:rFonts w:ascii="Calibri" w:eastAsia="Times New Roman" w:hAnsi="Calibri" w:cs="Calibri"/>
          <w:szCs w:val="20"/>
          <w:lang w:eastAsia="ru-RU"/>
        </w:rPr>
        <w:t>При расчете индекса прогнозной инфляции для контрактов, заключенных до 2024 года, рекомендуется использовать значения индексов-дефляторов Минэкономразвития России по строке "Инвестиции в основной капитал" для соответствующего периода, приведенные в "Прогнозе индексов-дефляторов и индексов цен производителей по видам экономической деятельности до 2024 г.", содержащемся в файле "7) Дефляторы базовый.xls".</w:t>
      </w:r>
    </w:p>
    <w:p w14:paraId="0270B6B7" w14:textId="77777777" w:rsidR="003B597C" w:rsidRPr="003B597C" w:rsidRDefault="003B597C" w:rsidP="003B59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3B597C">
        <w:rPr>
          <w:rFonts w:ascii="Calibri" w:eastAsia="Times New Roman" w:hAnsi="Calibri" w:cs="Calibri"/>
          <w:szCs w:val="20"/>
          <w:lang w:eastAsia="ru-RU"/>
        </w:rPr>
        <w:t>Расчет индекса-дефлятора Минэкономразвития России на один месяц осуществляется извлечением корня двенадцатой степени индекса прогнозной инфляции Минэкономразвития России, установленного в целом на год.</w:t>
      </w:r>
    </w:p>
    <w:p w14:paraId="391E29E0" w14:textId="77777777" w:rsidR="003B597C" w:rsidRPr="003B597C" w:rsidRDefault="003B597C" w:rsidP="003B59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3B597C">
        <w:rPr>
          <w:rFonts w:ascii="Calibri" w:eastAsia="Times New Roman" w:hAnsi="Calibri" w:cs="Calibri"/>
          <w:szCs w:val="20"/>
          <w:lang w:eastAsia="ru-RU"/>
        </w:rPr>
        <w:t>В случае если контракт заключается на долгосрочный период, то рекомендуется до 2024 года включительно использовать индексы на среднесрочный период, а начиная с 2025 года - индексы-дефляторы Минэкономразвития, опубликованные в информационно-телекоммуникационной сети Интернет в разделе: "Деятельность / Макроэкономика / Прогнозы социально-экономического развития по адресу: https://www.economy.gov.ru/material/directions/makroec/prognozy_socialno_ekonomicheskogo_razvitiya/prognoz_socialno_ekonomicheskogo_razvitiya_rossiyskoy_federacii_na_period_do_2036_goda.html.</w:t>
      </w:r>
    </w:p>
    <w:p w14:paraId="55395456" w14:textId="77777777" w:rsidR="003B597C" w:rsidRPr="003B597C" w:rsidRDefault="003B597C" w:rsidP="003B59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3B597C">
        <w:rPr>
          <w:rFonts w:ascii="Calibri" w:eastAsia="Times New Roman" w:hAnsi="Calibri" w:cs="Calibri"/>
          <w:szCs w:val="20"/>
          <w:lang w:eastAsia="ru-RU"/>
        </w:rPr>
        <w:t xml:space="preserve">Для определения размера индекса прогнозной инфляции для периода в несколько месяцев, величина индекса-дефлятора Минэкономразвития России, рассчитанная на один месяц, возводится в степень, размер которой соответствует количеству месяцев с начала года (соответственно, для даты </w:t>
      </w:r>
      <w:r w:rsidRPr="003B597C">
        <w:rPr>
          <w:rFonts w:ascii="Calibri" w:eastAsia="Times New Roman" w:hAnsi="Calibri" w:cs="Calibri"/>
          <w:szCs w:val="20"/>
          <w:lang w:eastAsia="ru-RU"/>
        </w:rPr>
        <w:lastRenderedPageBreak/>
        <w:t>начала работ и для даты окончания работ). При отсутствии информации о лимитах капитальных вложений по годам реализации проекта, величина доли стоимости строительства на каждый год определяется как отношение количества месяцев, на которые приходится выполнение работ, к общей продолжительности строительства в соответствии с проектной документацией.</w:t>
      </w:r>
    </w:p>
    <w:p w14:paraId="13654F8C" w14:textId="77777777" w:rsidR="003B597C" w:rsidRPr="003B597C" w:rsidRDefault="003B597C" w:rsidP="003B59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3B597C">
        <w:rPr>
          <w:rFonts w:ascii="Calibri" w:eastAsia="Times New Roman" w:hAnsi="Calibri" w:cs="Calibri"/>
          <w:szCs w:val="20"/>
          <w:lang w:eastAsia="ru-RU"/>
        </w:rPr>
        <w:t xml:space="preserve">Дополнительно сообщается, что письма Минстроя России, его структурных подразделений и подведомственных ему организаций по вопросам применения законодательства о градостроительной деятельности в Российской Федерации не содержат правовых норм или общих правил, конкретизирующих нормативные предписания, и не направлены на установление, изменение или отмену правовых норм, не являются нормативными правовыми актами вне зависимости от того, дано ли разъяснение конкретному заявителю либо неопределенному кругу лиц, а также не подлежат подготовке и регистрации в соответствии с </w:t>
      </w:r>
      <w:hyperlink r:id="rId7" w:history="1">
        <w:r w:rsidRPr="003B597C">
          <w:rPr>
            <w:rFonts w:ascii="Calibri" w:eastAsia="Times New Roman" w:hAnsi="Calibri" w:cs="Calibri"/>
            <w:color w:val="0000FF"/>
            <w:szCs w:val="20"/>
            <w:lang w:eastAsia="ru-RU"/>
          </w:rPr>
          <w:t>Правилами</w:t>
        </w:r>
      </w:hyperlink>
      <w:r w:rsidRPr="003B597C">
        <w:rPr>
          <w:rFonts w:ascii="Calibri" w:eastAsia="Times New Roman" w:hAnsi="Calibri" w:cs="Calibri"/>
          <w:szCs w:val="20"/>
          <w:lang w:eastAsia="ru-RU"/>
        </w:rPr>
        <w:t xml:space="preserve"> подготовки нормативных правовых актов федеральных органов исполнительной власти и их государственной регистрации, установленными Постановлением Правительства Российской Федерации от 13 августа 1997 г. N 1009.</w:t>
      </w:r>
    </w:p>
    <w:p w14:paraId="30A95B58" w14:textId="77777777" w:rsidR="003B597C" w:rsidRPr="003B597C" w:rsidRDefault="003B597C" w:rsidP="003B597C">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3B597C">
        <w:rPr>
          <w:rFonts w:ascii="Calibri" w:eastAsia="Times New Roman" w:hAnsi="Calibri" w:cs="Calibri"/>
          <w:szCs w:val="20"/>
          <w:lang w:eastAsia="ru-RU"/>
        </w:rPr>
        <w:t>Таким образом, разъяснения Минстроя России, его структурных подразделений и подведомственных ему организаций не отвечают критериям нормативного правового акта, а потому не могут иметь юридического значения и порождать правовые последствия для неопределенного круга лиц, но вместе с тем имеют информационно-разъяснительный характер по вопросам применения законодательства о градостроительной деятельности и не препятствуют руководствоваться нормами градостроительного законодательства в понимании, отличающемся от трактовки, изложенной в письмах.</w:t>
      </w:r>
    </w:p>
    <w:p w14:paraId="6C21FC42" w14:textId="77777777" w:rsidR="003B597C" w:rsidRPr="003B597C" w:rsidRDefault="003B597C" w:rsidP="003B597C">
      <w:pPr>
        <w:widowControl w:val="0"/>
        <w:autoSpaceDE w:val="0"/>
        <w:autoSpaceDN w:val="0"/>
        <w:spacing w:after="0" w:line="240" w:lineRule="auto"/>
        <w:jc w:val="both"/>
        <w:rPr>
          <w:rFonts w:ascii="Calibri" w:eastAsia="Times New Roman" w:hAnsi="Calibri" w:cs="Calibri"/>
          <w:szCs w:val="20"/>
          <w:lang w:eastAsia="ru-RU"/>
        </w:rPr>
      </w:pPr>
    </w:p>
    <w:p w14:paraId="6ED76024" w14:textId="77777777" w:rsidR="003B597C" w:rsidRPr="003B597C" w:rsidRDefault="003B597C" w:rsidP="003B597C">
      <w:pPr>
        <w:widowControl w:val="0"/>
        <w:autoSpaceDE w:val="0"/>
        <w:autoSpaceDN w:val="0"/>
        <w:spacing w:after="0" w:line="240" w:lineRule="auto"/>
        <w:jc w:val="right"/>
        <w:rPr>
          <w:rFonts w:ascii="Calibri" w:eastAsia="Times New Roman" w:hAnsi="Calibri" w:cs="Calibri"/>
          <w:szCs w:val="20"/>
          <w:lang w:eastAsia="ru-RU"/>
        </w:rPr>
      </w:pPr>
      <w:r w:rsidRPr="003B597C">
        <w:rPr>
          <w:rFonts w:ascii="Calibri" w:eastAsia="Times New Roman" w:hAnsi="Calibri" w:cs="Calibri"/>
          <w:szCs w:val="20"/>
          <w:lang w:eastAsia="ru-RU"/>
        </w:rPr>
        <w:t>Директор Департамента ценообразования</w:t>
      </w:r>
    </w:p>
    <w:p w14:paraId="57904222" w14:textId="77777777" w:rsidR="003B597C" w:rsidRPr="003B597C" w:rsidRDefault="003B597C" w:rsidP="003B597C">
      <w:pPr>
        <w:widowControl w:val="0"/>
        <w:autoSpaceDE w:val="0"/>
        <w:autoSpaceDN w:val="0"/>
        <w:spacing w:after="0" w:line="240" w:lineRule="auto"/>
        <w:jc w:val="right"/>
        <w:rPr>
          <w:rFonts w:ascii="Calibri" w:eastAsia="Times New Roman" w:hAnsi="Calibri" w:cs="Calibri"/>
          <w:szCs w:val="20"/>
          <w:lang w:eastAsia="ru-RU"/>
        </w:rPr>
      </w:pPr>
      <w:r w:rsidRPr="003B597C">
        <w:rPr>
          <w:rFonts w:ascii="Calibri" w:eastAsia="Times New Roman" w:hAnsi="Calibri" w:cs="Calibri"/>
          <w:szCs w:val="20"/>
          <w:lang w:eastAsia="ru-RU"/>
        </w:rPr>
        <w:t>и ресурсного обеспечения строительства</w:t>
      </w:r>
    </w:p>
    <w:p w14:paraId="5445F255" w14:textId="77777777" w:rsidR="003B597C" w:rsidRPr="003B597C" w:rsidRDefault="003B597C" w:rsidP="003B597C">
      <w:pPr>
        <w:widowControl w:val="0"/>
        <w:autoSpaceDE w:val="0"/>
        <w:autoSpaceDN w:val="0"/>
        <w:spacing w:after="0" w:line="240" w:lineRule="auto"/>
        <w:jc w:val="right"/>
        <w:rPr>
          <w:rFonts w:ascii="Calibri" w:eastAsia="Times New Roman" w:hAnsi="Calibri" w:cs="Calibri"/>
          <w:szCs w:val="20"/>
          <w:lang w:eastAsia="ru-RU"/>
        </w:rPr>
      </w:pPr>
      <w:r w:rsidRPr="003B597C">
        <w:rPr>
          <w:rFonts w:ascii="Calibri" w:eastAsia="Times New Roman" w:hAnsi="Calibri" w:cs="Calibri"/>
          <w:szCs w:val="20"/>
          <w:lang w:eastAsia="ru-RU"/>
        </w:rPr>
        <w:t>И.В.ТЮТЬМИНА</w:t>
      </w:r>
    </w:p>
    <w:p w14:paraId="1A6E9ADF" w14:textId="77777777" w:rsidR="003B597C" w:rsidRPr="003B597C" w:rsidRDefault="003B597C" w:rsidP="003B597C">
      <w:pPr>
        <w:widowControl w:val="0"/>
        <w:autoSpaceDE w:val="0"/>
        <w:autoSpaceDN w:val="0"/>
        <w:spacing w:after="0" w:line="240" w:lineRule="auto"/>
        <w:jc w:val="both"/>
        <w:rPr>
          <w:rFonts w:ascii="Calibri" w:eastAsia="Times New Roman" w:hAnsi="Calibri" w:cs="Calibri"/>
          <w:szCs w:val="20"/>
          <w:lang w:eastAsia="ru-RU"/>
        </w:rPr>
      </w:pPr>
    </w:p>
    <w:p w14:paraId="20381762" w14:textId="77777777" w:rsidR="003B597C" w:rsidRPr="003B597C" w:rsidRDefault="003B597C" w:rsidP="003B597C">
      <w:pPr>
        <w:widowControl w:val="0"/>
        <w:autoSpaceDE w:val="0"/>
        <w:autoSpaceDN w:val="0"/>
        <w:spacing w:after="0" w:line="240" w:lineRule="auto"/>
        <w:jc w:val="both"/>
        <w:rPr>
          <w:rFonts w:ascii="Calibri" w:eastAsia="Times New Roman" w:hAnsi="Calibri" w:cs="Calibri"/>
          <w:szCs w:val="20"/>
          <w:lang w:eastAsia="ru-RU"/>
        </w:rPr>
      </w:pPr>
    </w:p>
    <w:p w14:paraId="22E5D130" w14:textId="77777777" w:rsidR="003B597C" w:rsidRPr="003B597C" w:rsidRDefault="003B597C" w:rsidP="003B597C">
      <w:pPr>
        <w:widowControl w:val="0"/>
        <w:pBdr>
          <w:top w:val="single" w:sz="6" w:space="0" w:color="auto"/>
        </w:pBdr>
        <w:autoSpaceDE w:val="0"/>
        <w:autoSpaceDN w:val="0"/>
        <w:spacing w:before="100" w:after="100" w:line="240" w:lineRule="auto"/>
        <w:jc w:val="both"/>
        <w:rPr>
          <w:rFonts w:ascii="Calibri" w:eastAsia="Times New Roman" w:hAnsi="Calibri" w:cs="Calibri"/>
          <w:sz w:val="2"/>
          <w:szCs w:val="2"/>
          <w:lang w:eastAsia="ru-RU"/>
        </w:rPr>
      </w:pPr>
    </w:p>
    <w:p w14:paraId="75462F3E" w14:textId="77777777" w:rsidR="00087EFD" w:rsidRDefault="003B597C"/>
    <w:sectPr w:rsidR="00087EFD" w:rsidSect="00C51D27">
      <w:pgSz w:w="12240" w:h="15840"/>
      <w:pgMar w:top="1134" w:right="850" w:bottom="1134" w:left="170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altName w:val="Century Gothic"/>
    <w:panose1 w:val="020F0502020204030204"/>
    <w:charset w:val="CC"/>
    <w:family w:val="swiss"/>
    <w:pitch w:val="variable"/>
    <w:sig w:usb0="E4002EFF" w:usb1="C000247B" w:usb2="00000009" w:usb3="00000000" w:csb0="000001FF" w:csb1="00000000"/>
  </w:font>
  <w:font w:name="Times New Roman">
    <w:altName w:val="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3519"/>
    <w:rsid w:val="001F4501"/>
    <w:rsid w:val="003B597C"/>
    <w:rsid w:val="008F3519"/>
    <w:rsid w:val="00B84031"/>
    <w:rsid w:val="00BC1D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F047ABE-7C66-4E7E-B011-2661970646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consultantplus://offline/ref=18DDD0DCCE686EA8072FF289C02B86B7CEC161AB1AE8A66B691436356A5E78806D8FF75C10BA6C4FD8403E641562AF2D43C79056FA71EDEEu6Z4P"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18DDD0DCCE686EA8072FF289C02B86B7C9C969A61EEDA66B691436356A5E78806D8FF75F16BA6719810F3F385033BC2C44C79255E6u7Z1P" TargetMode="External"/><Relationship Id="rId5" Type="http://schemas.openxmlformats.org/officeDocument/2006/relationships/hyperlink" Target="consultantplus://offline/ref=18DDD0DCCE686EA8072FF289C02B86B7C9C96AAD19EDA66B691436356A5E78806D8FF75C10BA6C4ED2403E641562AF2D43C79056FA71EDEEu6Z4P" TargetMode="External"/><Relationship Id="rId4" Type="http://schemas.openxmlformats.org/officeDocument/2006/relationships/hyperlink" Target="consultantplus://offline/ref=18DDD0DCCE686EA8072FF289C02B86B7C9C96AAD19EDA66B691436356A5E78806D8FF75C10BA6C4CD3403E641562AF2D43C79056FA71EDEEu6Z4P" TargetMode="Externa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1418</Words>
  <Characters>8089</Characters>
  <Application>Microsoft Office Word</Application>
  <DocSecurity>0</DocSecurity>
  <Lines>67</Lines>
  <Paragraphs>18</Paragraphs>
  <ScaleCrop>false</ScaleCrop>
  <Company/>
  <LinksUpToDate>false</LinksUpToDate>
  <CharactersWithSpaces>9489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Пенза Большая Волга</dc:creator>
  <cp:keywords/>
  <dc:description/>
  <cp:lastModifiedBy>Пенза Большая Волга</cp:lastModifiedBy>
  <cp:revision>2</cp:revision>
  <dcterms:created xsi:type="dcterms:W3CDTF">2022-03-14T15:25:00Z</dcterms:created>
  <dcterms:modified xsi:type="dcterms:W3CDTF">2022-03-14T15:26:00Z</dcterms:modified>
</cp:coreProperties>
</file>