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МИНИСТЕРСТВО СТРОИТЕЛЬСТВА И ЖИЛИЩНО-КОММУНАЛЬНОГО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ХОЗЯЙСТВА РОССИЙСКОЙ ФЕДЕРАЦИИ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b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ПИСЬМО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от 30 декабря 2021 г. N 58231-ИФ/09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 xml:space="preserve">В рамках реализации полномочий Министерства строительства и жилищно-коммунального хозяйства Российской Федерации по выработке и реализации государственной политики и нормативно-правовому регулированию в сфере нормирования и ценообразования при проектировании и строительстве Минстрой России в дополнение к письмам от 24 декабря 2021 г. </w:t>
      </w:r>
      <w:hyperlink r:id="rId4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57049-ИФ/09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22 декабря 2021 г. </w:t>
      </w:r>
      <w:hyperlink r:id="rId5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56566-ИФ/09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18 декабря 2021 г. </w:t>
      </w:r>
      <w:hyperlink r:id="rId6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55924-ИФ/09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15 декабря 2021 г. </w:t>
      </w:r>
      <w:hyperlink r:id="rId7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55265-ИФ/09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6 декабря 2021 г. </w:t>
      </w:r>
      <w:hyperlink r:id="rId8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53335-ИФ/09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2 декабря 2021 г. </w:t>
      </w:r>
      <w:hyperlink r:id="rId9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52935-ИФ/09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22 ноября 2021 г. </w:t>
      </w:r>
      <w:hyperlink r:id="rId10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50934-ИФ/09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22 ноября 2021 г. </w:t>
      </w:r>
      <w:hyperlink r:id="rId11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50719-ИФ/09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15 ноября 2021 г. </w:t>
      </w:r>
      <w:hyperlink r:id="rId12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49637-ИФ/09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9 ноября 2021 г. </w:t>
      </w:r>
      <w:hyperlink r:id="rId13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48642-ИФ/09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6 ноября 2021 г. </w:t>
      </w:r>
      <w:hyperlink r:id="rId14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48346-ИФ/09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1 ноября 2021 г. </w:t>
      </w:r>
      <w:hyperlink r:id="rId15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47672-ИФ/09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, от 25 октября 2021 г. </w:t>
      </w:r>
      <w:hyperlink r:id="rId16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N 46012-ИФ/09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 сообщает о рекомендуемой величине индексов изменения сметной стоимости строительства в IV квартале 2021 года, в том числе величине индексов изменения сметной стоимости строительно-монтажных работ, индексов изменения сметной стоимости пусконаладочных работ (далее - Индексы).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 xml:space="preserve">Указанные Индексы разработаны к сметно-нормативной базе 2001 года в соответствии с положениями </w:t>
      </w:r>
      <w:hyperlink r:id="rId17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Методики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 расчета индексов изменения сметной стоимости строительства, утвержденной приказом Минстроя России от 5 июня 2019 г. N 326/пр, с использованием данных ФАУ "Главгосэкспертиза России", органов исполнительной власти субъектов Российской Федерации за III квартал 2021 года с учетом прогнозного показателя инфляции, установленного Минэкономразвития России.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И.Э.ФАЙЗУЛЛИН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Приложение N 1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от ______________ N ____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ПО ЭЛЕМЕНТАМ ПРЯМЫХ ЗАТРАТ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СТРОИТЕЛЬСТВА, ОПРЕДЕЛЯЕМЫХ С ПРИМЕНЕНИЕМ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ФЕДЕРАЛЬНЫХ И ТЕРРИТОРИАЛЬНЫХ ЕДИНИЧНЫХ РАСЦЕНОК,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НА IV КВАРТАЛ 2021 ГОДА </w:t>
      </w:r>
      <w:hyperlink w:anchor="P779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Южный федеральный округ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62"/>
        <w:gridCol w:w="907"/>
        <w:gridCol w:w="3855"/>
        <w:gridCol w:w="2438"/>
      </w:tblGrid>
      <w:tr w:rsidR="00FB28B9" w:rsidRPr="00FB28B9" w:rsidTr="000E790B">
        <w:tc>
          <w:tcPr>
            <w:tcW w:w="2769" w:type="dxa"/>
            <w:gridSpan w:val="2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3855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780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243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3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Астраханская область</w:t>
            </w:r>
          </w:p>
        </w:tc>
      </w:tr>
      <w:tr w:rsidR="00FB28B9" w:rsidRPr="00FB28B9" w:rsidTr="000E790B">
        <w:tc>
          <w:tcPr>
            <w:tcW w:w="1862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6,59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7,61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7,33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7,22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8,30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8,05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6,85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6,09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8,26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7,95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6,87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6,30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8,15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7,85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6,21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6,25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9,56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9,25</w:t>
            </w:r>
          </w:p>
        </w:tc>
      </w:tr>
      <w:tr w:rsidR="00FB28B9" w:rsidRPr="00FB28B9" w:rsidTr="000E790B">
        <w:tc>
          <w:tcPr>
            <w:tcW w:w="1862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6,55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9,30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8,78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5,81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6,18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9,64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9,05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6,30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6,14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8,88</w:t>
            </w:r>
          </w:p>
        </w:tc>
      </w:tr>
      <w:tr w:rsidR="00FB28B9" w:rsidRPr="00FB28B9" w:rsidTr="000E790B">
        <w:tc>
          <w:tcPr>
            <w:tcW w:w="1862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5,82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11,07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10,33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7,22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6,69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8,76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8,32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6,84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6,37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9,78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9,22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6,73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6,64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8,79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8,45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6,91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6,60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9,98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9,59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Котельные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6,47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6,01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8,41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7,39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6,87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10,76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10,51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8,89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8,83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10,77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10,60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4,44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5,70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10,13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9,56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7,74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7,89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10,40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9,78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5,12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5,87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10,14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9,59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5,32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4,39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7,90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7,89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3,86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4,14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7,84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7,80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5,37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4,55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6,36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5,96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5,26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5,57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6,36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5,96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Сети наружного освещения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8,21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6,61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7,22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6,92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6,99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6,43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9,12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8,82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 xml:space="preserve">Аэродромы гражданского назначения </w:t>
            </w:r>
            <w:hyperlink w:anchor="P781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26,42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8,09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9,81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11,12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Спортивные комплексы с несущими и ограждающими конструкциями из стали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Северо-Кавказский федеральный округ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62"/>
        <w:gridCol w:w="907"/>
        <w:gridCol w:w="3855"/>
        <w:gridCol w:w="2438"/>
      </w:tblGrid>
      <w:tr w:rsidR="00FB28B9" w:rsidRPr="00FB28B9" w:rsidTr="000E790B">
        <w:tc>
          <w:tcPr>
            <w:tcW w:w="2769" w:type="dxa"/>
            <w:gridSpan w:val="2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3855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780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243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 по объектам строительства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3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Чеченская Республика</w:t>
            </w:r>
          </w:p>
        </w:tc>
      </w:tr>
      <w:tr w:rsidR="00FB28B9" w:rsidRPr="00FB28B9" w:rsidTr="000E790B">
        <w:tc>
          <w:tcPr>
            <w:tcW w:w="1862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Многоквартирные жилые дома</w:t>
            </w: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Кирпичные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6,51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8,16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7,38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5,92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Панельные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7,36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8,02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7,75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6,32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Монолитные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6,72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6,88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7,72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6,22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6,79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7,47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7,61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6,14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Административные здания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6,22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6,11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9,07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7,45</w:t>
            </w:r>
          </w:p>
        </w:tc>
      </w:tr>
      <w:tr w:rsidR="00FB28B9" w:rsidRPr="00FB28B9" w:rsidTr="000E790B">
        <w:tc>
          <w:tcPr>
            <w:tcW w:w="1862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Объекты образования</w:t>
            </w: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Детские сады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6,49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8,81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7,26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Школы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5,76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6,08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9,12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7,53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6,25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6,64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8,92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7,36</w:t>
            </w:r>
          </w:p>
        </w:tc>
      </w:tr>
      <w:tr w:rsidR="00FB28B9" w:rsidRPr="00FB28B9" w:rsidTr="000E790B">
        <w:tc>
          <w:tcPr>
            <w:tcW w:w="1862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Объекты здравоохранения</w:t>
            </w: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Поликлиники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6,71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10,50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8,71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Больницы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7,08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7,07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8,26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6,73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Прочие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6,75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6,95</w:t>
            </w:r>
          </w:p>
        </w:tc>
      </w:tr>
      <w:tr w:rsidR="00FB28B9" w:rsidRPr="00FB28B9" w:rsidTr="000E790B">
        <w:tc>
          <w:tcPr>
            <w:tcW w:w="18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907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9,24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7,59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Объекты спортивного назначения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6,71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7,36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8,41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7,11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Объекты культуры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6,89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7,58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7,72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Котельные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6,50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7,28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8,04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6,76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Очистные сооружения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7,07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7,70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10,36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8,82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теплоснабжения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8,79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8,73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10,39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9,01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водопровода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4,40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4,14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9,74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8,19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канализации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7,77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7,95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10,01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8,34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Внешние инженерные сети газоснабжения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5,21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4,78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9,76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8,10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медными жилами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5,22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6,92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7,57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6,39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Подземная прокладка кабеля с алюминиевыми жилами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3,62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4,71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7,51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6,33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медными жилами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5,36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6,70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4,86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Воздушная прокладка провода с алюминиевыми жилами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5,27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6,35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4,86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Сети наружного освещения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8,23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9,16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6,91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5,60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Прочие объекты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6,94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7,46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8,68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7,19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Аэродромы гражданского назначения </w:t>
            </w:r>
            <w:hyperlink w:anchor="P781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15,93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8,27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8,37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9,45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8,39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Спортивные комплексы с несущими и ограждающими </w:t>
            </w: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конструкциями из стали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Оплата труда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769" w:type="dxa"/>
            <w:gridSpan w:val="2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4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0" w:name="P779"/>
      <w:bookmarkEnd w:id="0"/>
      <w:r w:rsidRPr="00FB28B9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применимы только к указанной ценовой зоне.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780"/>
      <w:bookmarkEnd w:id="1"/>
      <w:r w:rsidRPr="00FB28B9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по строке "Оплата труда" разработаны с учетом районных коэффициентов к заработной плате и применяются к соответствующей величине затрат на оплату труда рабочих-строителей, на оплату труда пусконаладочного персонала и на оплату труда рабочих, занятых на управлении машинами и механизмами.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" w:name="P781"/>
      <w:bookmarkEnd w:id="2"/>
      <w:r w:rsidRPr="00FB28B9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по строке "Аэродромы гражданского назначения" применяются для определения сметной стоимости строительства аэродромов гражданского назначения при наличии в их составе объектов, предназначенных для взлета, посадки, руления и стоянки воздушных судов с искусственным покрытием (взлетно-посадочные полосы, рулежные дорожки, места стоянки воздушных судов, перроны аэродромов), в случае если сметная стоимость указанных объектов в базисном уровне цен составляет наибольшую стоимость от совокупной сметной стоимости строительства в базисном уровне цен.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Приложение N 2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от ______________ N ____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СТРОИТЕЛЬНО-МОНТАЖНЫХ РАБОТ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 "ЭЛЕКТРИФИКАЦИЯ ЖЕЛЕЗНЫХ ДОРОГ"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И "ЖЕЛЕЗНЫЕ ДОРОГИ", НА IV КВАРТАЛ 2021 ГОДА </w:t>
      </w:r>
      <w:hyperlink w:anchor="P821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822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3"/>
        <w:gridCol w:w="4139"/>
        <w:gridCol w:w="2098"/>
        <w:gridCol w:w="2154"/>
      </w:tblGrid>
      <w:tr w:rsidR="00FB28B9" w:rsidRPr="00FB28B9" w:rsidTr="000E790B">
        <w:tc>
          <w:tcPr>
            <w:tcW w:w="643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4139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4252" w:type="dxa"/>
            <w:gridSpan w:val="2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FB28B9" w:rsidRPr="00FB28B9" w:rsidTr="000E790B">
        <w:tc>
          <w:tcPr>
            <w:tcW w:w="643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413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09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Электрификация железных дорог</w:t>
            </w:r>
          </w:p>
        </w:tc>
        <w:tc>
          <w:tcPr>
            <w:tcW w:w="215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Железные дороги</w:t>
            </w:r>
          </w:p>
        </w:tc>
      </w:tr>
      <w:tr w:rsidR="00FB28B9" w:rsidRPr="00FB28B9" w:rsidTr="000E790B">
        <w:tc>
          <w:tcPr>
            <w:tcW w:w="643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13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09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215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391" w:type="dxa"/>
            <w:gridSpan w:val="3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Южный федеральный округ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Астраханская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6,09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8,99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II</w:t>
            </w:r>
          </w:p>
        </w:tc>
        <w:tc>
          <w:tcPr>
            <w:tcW w:w="8391" w:type="dxa"/>
            <w:gridSpan w:val="3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Приволжский федеральный округ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Марий Эл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6,03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8,64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" w:name="P821"/>
      <w:bookmarkEnd w:id="3"/>
      <w:r w:rsidRPr="00FB28B9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строительно-монтажных работ применимы только к указанной ценовой зоне.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4" w:name="P822"/>
      <w:bookmarkEnd w:id="4"/>
      <w:r w:rsidRPr="00FB28B9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Приложение N 3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от ______________ N ____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СТРОИТЕЛЬНО-МОНТАЖНЫХ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РАБОТ ПО ОБЪЕКТАМ СТРОИТЕЛЬСТВА "АВТОМОБИЛЬНЫЕ ДОРОГИ"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 "ИСКУССТВЕННЫЕ ДОРОЖНЫЕ СООРУЖЕНИЯ", ОПРЕДЕЛЯЕМЫХ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С ПРИМЕНЕНИЕМ ФЕДЕРАЛЬНЫХ И ТЕРРИТОРИАЛЬНЫХ ЕДИНИЧНЫХ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РАСЦЕНОК НА IV КВАРТАЛ 2021 ГОДА </w:t>
      </w:r>
      <w:hyperlink w:anchor="P1320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323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324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&lt;3&gt;</w:t>
        </w:r>
      </w:hyperlink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3"/>
        <w:gridCol w:w="4139"/>
        <w:gridCol w:w="2098"/>
        <w:gridCol w:w="2154"/>
      </w:tblGrid>
      <w:tr w:rsidR="00FB28B9" w:rsidRPr="00FB28B9" w:rsidTr="000E790B">
        <w:tc>
          <w:tcPr>
            <w:tcW w:w="643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4139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4252" w:type="dxa"/>
            <w:gridSpan w:val="2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ФЕР-2001/ТЕР-2001</w:t>
            </w:r>
          </w:p>
        </w:tc>
      </w:tr>
      <w:tr w:rsidR="00FB28B9" w:rsidRPr="00FB28B9" w:rsidTr="000E790B">
        <w:tc>
          <w:tcPr>
            <w:tcW w:w="643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413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09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Автомобильные дороги </w:t>
            </w:r>
            <w:hyperlink w:anchor="P1325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215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Искусственные дорожные сооружения </w:t>
            </w:r>
            <w:hyperlink w:anchor="P1326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&lt;5&gt;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327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&lt;6&gt;</w:t>
              </w:r>
            </w:hyperlink>
          </w:p>
        </w:tc>
      </w:tr>
      <w:tr w:rsidR="00FB28B9" w:rsidRPr="00FB28B9" w:rsidTr="000E790B">
        <w:tc>
          <w:tcPr>
            <w:tcW w:w="643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13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09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215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391" w:type="dxa"/>
            <w:gridSpan w:val="3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Приволжский федеральный округ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Карелия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9,86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13,70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Коми (1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11,73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13,84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Архангельская область базовый район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11,57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13,77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Ненецкий автономный округ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16,78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20,00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Вологодская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9,53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12,69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Мурманская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12,74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16,63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II</w:t>
            </w:r>
          </w:p>
        </w:tc>
        <w:tc>
          <w:tcPr>
            <w:tcW w:w="8391" w:type="dxa"/>
            <w:gridSpan w:val="3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Приволжский федеральный округ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Башкортостан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8,99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11,44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Удмуртская Республика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9,14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11,47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Кировская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9,12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11,38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Оренбургская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9,17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11,50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Пермский край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9,11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12,03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III</w:t>
            </w:r>
          </w:p>
        </w:tc>
        <w:tc>
          <w:tcPr>
            <w:tcW w:w="8391" w:type="dxa"/>
            <w:gridSpan w:val="3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Уральский федеральный округ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Курганская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9,08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11,41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Свердловская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9,10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12,07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Тюменская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9,84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13,13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Челябинская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8,91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11,37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Ханты-Мансийский автономный округ - Югра (1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12,31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14,63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17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Ханты-Мансийский автономный округ - Югра (2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12,02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14,51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Ханты-Мансийский автономный округ - Югра (3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12,79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14,70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19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Ханты-Мансийский автономный округ - Югра (4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12,71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14,53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20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Ханты-Мансийский автономный округ - Югра (5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15,43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21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Ямало-Ненецкий автономный округ (1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14,85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18,58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Ямало-Ненецкий автономный округ (2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15,49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18,32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23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Ямало-Ненецкий автономный округ (3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15,60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18,25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Ямало-Ненецкий автономный округ (4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18,77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19,05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25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Ямало-Ненецкий автономный округ (5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17,53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18,28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IV</w:t>
            </w:r>
          </w:p>
        </w:tc>
        <w:tc>
          <w:tcPr>
            <w:tcW w:w="8391" w:type="dxa"/>
            <w:gridSpan w:val="3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Сибирский федеральный округ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26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Алтай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9,32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12,10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27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Тыва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11,71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13,83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28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Хакасия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9,27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12,59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29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Алтайский край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9,11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11,96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30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Красноярский край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9,52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12,18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31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Иркутская область (1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9,60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13,94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32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Иркутская область (2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11,66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14,22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33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Иркутская область (3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11,23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14,19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34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Иркутская область (4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12,12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14,52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35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Иркутская область (5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13,91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14,98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36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Иркутская область (6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14,30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15,35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37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Кемеровская область - Кузбасс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9,59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13,02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38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Новосибирская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9,68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12,35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39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Омская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9,43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12,29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40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Томская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9,70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12,50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blPrEx>
          <w:tblBorders>
            <w:insideH w:val="none" w:sz="0" w:space="0" w:color="auto"/>
          </w:tblBorders>
        </w:tblPrEx>
        <w:tc>
          <w:tcPr>
            <w:tcW w:w="9034" w:type="dxa"/>
            <w:gridSpan w:val="4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left w:val="single" w:sz="24" w:space="0" w:color="CED3F1"/>
                <w:right w:val="single" w:sz="24" w:space="0" w:color="F4F3F8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4A0" w:firstRow="1" w:lastRow="0" w:firstColumn="1" w:lastColumn="0" w:noHBand="0" w:noVBand="1"/>
            </w:tblPr>
            <w:tblGrid>
              <w:gridCol w:w="8850"/>
            </w:tblGrid>
            <w:tr w:rsidR="00FB28B9" w:rsidRPr="00FB28B9" w:rsidTr="000E790B">
              <w:trPr>
                <w:jc w:val="center"/>
              </w:trPr>
              <w:tc>
                <w:tcPr>
                  <w:tcW w:w="9294" w:type="dxa"/>
                  <w:tcBorders>
                    <w:left w:val="single" w:sz="24" w:space="0" w:color="CED3F1"/>
                    <w:right w:val="single" w:sz="24" w:space="0" w:color="F4F3F8"/>
                  </w:tcBorders>
                  <w:shd w:val="clear" w:color="auto" w:fill="F4F3F8"/>
                </w:tcPr>
                <w:p w:rsidR="00FB28B9" w:rsidRPr="00FB28B9" w:rsidRDefault="00FB28B9" w:rsidP="00FB28B9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szCs w:val="20"/>
                      <w:lang w:eastAsia="ru-RU"/>
                    </w:rPr>
                  </w:pPr>
                  <w:r w:rsidRPr="00FB28B9">
                    <w:rPr>
                      <w:rFonts w:ascii="Calibri" w:eastAsia="Times New Roman" w:hAnsi="Calibri" w:cs="Calibri"/>
                      <w:color w:val="392C69"/>
                      <w:szCs w:val="20"/>
                      <w:lang w:eastAsia="ru-RU"/>
                    </w:rPr>
                    <w:t>КонсультантПлюс: примечание.</w:t>
                  </w:r>
                </w:p>
                <w:p w:rsidR="00FB28B9" w:rsidRPr="00FB28B9" w:rsidRDefault="00FB28B9" w:rsidP="00FB28B9">
                  <w:pPr>
                    <w:widowControl w:val="0"/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szCs w:val="20"/>
                      <w:lang w:eastAsia="ru-RU"/>
                    </w:rPr>
                  </w:pPr>
                  <w:r w:rsidRPr="00FB28B9">
                    <w:rPr>
                      <w:rFonts w:ascii="Calibri" w:eastAsia="Times New Roman" w:hAnsi="Calibri" w:cs="Calibri"/>
                      <w:color w:val="392C69"/>
                      <w:szCs w:val="20"/>
                      <w:lang w:eastAsia="ru-RU"/>
                    </w:rPr>
                    <w:lastRenderedPageBreak/>
                    <w:t>Нумерация разделов дана в соответствии с официальным текстом документа.</w:t>
                  </w:r>
                </w:p>
              </w:tc>
            </w:tr>
          </w:tbl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</w:tr>
      <w:tr w:rsidR="00FB28B9" w:rsidRPr="00FB28B9" w:rsidTr="000E790B">
        <w:tblPrEx>
          <w:tblBorders>
            <w:insideH w:val="none" w:sz="0" w:space="0" w:color="auto"/>
          </w:tblBorders>
        </w:tblPrEx>
        <w:tc>
          <w:tcPr>
            <w:tcW w:w="643" w:type="dxa"/>
            <w:tcBorders>
              <w:top w:val="nil"/>
            </w:tcBorders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IV</w:t>
            </w:r>
          </w:p>
        </w:tc>
        <w:tc>
          <w:tcPr>
            <w:tcW w:w="8391" w:type="dxa"/>
            <w:gridSpan w:val="3"/>
            <w:tcBorders>
              <w:top w:val="nil"/>
            </w:tcBorders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Дальневосточный федеральный округ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41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Бурятия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9,35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13,23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42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(1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15,90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17,77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43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(2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15,62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17,79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44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(3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17,99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18,97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45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(4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16,52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18,35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46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(5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16,55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18,71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47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(6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17,25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21,04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48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(11 зона)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18,12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21,14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49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Забайкальский край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10,23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13,74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50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Приморский край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10,13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14,20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51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Хабаровский край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10,20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14,55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52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Амурская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10,52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15,00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53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Камчатский край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18,47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20,54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54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Магаданская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19,16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21,30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55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Сахалинская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14,26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19,11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56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Еврейская автономная область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10,54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14,05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643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57</w:t>
            </w:r>
          </w:p>
        </w:tc>
        <w:tc>
          <w:tcPr>
            <w:tcW w:w="413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Чукотский автономный округ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22,20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15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24,33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------</w:t>
            </w:r>
          </w:p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1320"/>
      <w:bookmarkEnd w:id="5"/>
      <w:r w:rsidRPr="00FB28B9">
        <w:rPr>
          <w:rFonts w:ascii="Calibri" w:eastAsia="Times New Roman" w:hAnsi="Calibri" w:cs="Calibri"/>
          <w:szCs w:val="20"/>
          <w:lang w:eastAsia="ru-RU"/>
        </w:rPr>
        <w:t xml:space="preserve">1. При определении сметной стоимости строительства объектов, расположенных в районах Крайнего Севера или местностях, приравненных к районам Крайнего Севера (с использованием соответствующих нормативов накладных расходов, предусмотренных </w:t>
      </w:r>
      <w:hyperlink r:id="rId18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Методикой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N 812/пр), для учета повышенной нормы накладных расходов к индексам изменения сметной стоимости строительно-монтажных работ (к ФЕР) следует применять следующие коэффициенты: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районов Крайнего Севера - 1,007;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местностей, приравненных к районам Крайнего Севера, - 1,005.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6" w:name="P1323"/>
      <w:bookmarkEnd w:id="6"/>
      <w:r w:rsidRPr="00FB28B9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строительно-монтажных работ применимы только к указанной ценовой зоне.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7" w:name="P1324"/>
      <w:bookmarkEnd w:id="7"/>
      <w:r w:rsidRPr="00FB28B9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8" w:name="P1325"/>
      <w:bookmarkEnd w:id="8"/>
      <w:r w:rsidRPr="00FB28B9">
        <w:rPr>
          <w:rFonts w:ascii="Calibri" w:eastAsia="Times New Roman" w:hAnsi="Calibri" w:cs="Calibri"/>
          <w:szCs w:val="20"/>
          <w:lang w:eastAsia="ru-RU"/>
        </w:rPr>
        <w:t>4. Индексы изменения сметной стоимости по графе "Автомобильные дороги" рассчитанные к комплексу работ, учтенных в главах 1 - 7 сводного сметного расчета, применяются для определения сметной стоимости строительно-монтажных работ, определенной в базисном уровне цен в локальных сметных расчетах (сметах), сгруппированных в объектные сметные расчеты (сметы) по видам строительства, включенные в главы 1 - 9, 12 сводного сметного расчета.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9" w:name="P1326"/>
      <w:bookmarkEnd w:id="9"/>
      <w:r w:rsidRPr="00FB28B9">
        <w:rPr>
          <w:rFonts w:ascii="Calibri" w:eastAsia="Times New Roman" w:hAnsi="Calibri" w:cs="Calibri"/>
          <w:szCs w:val="20"/>
          <w:lang w:eastAsia="ru-RU"/>
        </w:rPr>
        <w:t>5. Индексы изменения сметной стоимости по графе "Искусственные дорожные сооружения" применяются при строительстве мостов, путепроводов, эстакад.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0" w:name="P1327"/>
      <w:bookmarkEnd w:id="10"/>
      <w:r w:rsidRPr="00FB28B9">
        <w:rPr>
          <w:rFonts w:ascii="Calibri" w:eastAsia="Times New Roman" w:hAnsi="Calibri" w:cs="Calibri"/>
          <w:szCs w:val="20"/>
          <w:lang w:eastAsia="ru-RU"/>
        </w:rPr>
        <w:t xml:space="preserve">6. Индексы изменения сметной стоимости по графе "Искусственные дорожные сооружения" </w:t>
      </w:r>
      <w:r w:rsidRPr="00FB28B9">
        <w:rPr>
          <w:rFonts w:ascii="Calibri" w:eastAsia="Times New Roman" w:hAnsi="Calibri" w:cs="Calibri"/>
          <w:szCs w:val="20"/>
          <w:lang w:eastAsia="ru-RU"/>
        </w:rPr>
        <w:lastRenderedPageBreak/>
        <w:t>применяются для определения сметной стоимости строительно-монтажных работ, учитываемой в главе 2 сводного сметного расчета.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Приложение N 4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от ______________ N ____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СТРОИТЕЛЬНО-МОНТАЖНЫХ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 ПУСКОНАЛАДОЧНЫХ РАБОТ ПО ОБЪЕКТАМ ИСПОЛЬЗОВАНИЯ АТОМНОЙ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ЭНЕРГИИ, ОПРЕДЕЛЯЕМЫХ С ПРИМЕНЕНИЕМ ФЕДЕРАЛЬНЫХ ЕДИНИЧНЫХ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РАСЦЕНОК, НА IV КВАРТАЛ 2021 ГОДА </w:t>
      </w:r>
      <w:hyperlink w:anchor="P1366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369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370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&lt;3&gt;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371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&lt;4&gt;</w:t>
        </w:r>
      </w:hyperlink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8"/>
        <w:gridCol w:w="1871"/>
        <w:gridCol w:w="850"/>
        <w:gridCol w:w="850"/>
        <w:gridCol w:w="850"/>
        <w:gridCol w:w="737"/>
        <w:gridCol w:w="1699"/>
        <w:gridCol w:w="1560"/>
      </w:tblGrid>
      <w:tr w:rsidR="00FB28B9" w:rsidRPr="00FB28B9" w:rsidTr="000E790B">
        <w:tc>
          <w:tcPr>
            <w:tcW w:w="538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1871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6546" w:type="dxa"/>
            <w:gridSpan w:val="6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FB28B9" w:rsidRPr="00FB28B9" w:rsidTr="000E790B">
        <w:tc>
          <w:tcPr>
            <w:tcW w:w="53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71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85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Градирня</w:t>
            </w:r>
          </w:p>
        </w:tc>
        <w:tc>
          <w:tcPr>
            <w:tcW w:w="85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Насосная станция</w:t>
            </w:r>
          </w:p>
        </w:tc>
        <w:tc>
          <w:tcPr>
            <w:tcW w:w="85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реактора</w:t>
            </w:r>
          </w:p>
        </w:tc>
        <w:tc>
          <w:tcPr>
            <w:tcW w:w="737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Пусконаладочные работы</w:t>
            </w:r>
          </w:p>
        </w:tc>
        <w:tc>
          <w:tcPr>
            <w:tcW w:w="169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Здание радиационного источника на территории с сейсмической активностью более 7 баллов </w:t>
            </w:r>
            <w:hyperlink w:anchor="P1372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&lt;5&gt;</w:t>
              </w:r>
            </w:hyperlink>
          </w:p>
        </w:tc>
        <w:tc>
          <w:tcPr>
            <w:tcW w:w="156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радиационного источника на территории с отсутствием сейсмичности</w:t>
            </w:r>
          </w:p>
        </w:tc>
      </w:tr>
      <w:tr w:rsidR="00FB28B9" w:rsidRPr="00FB28B9" w:rsidTr="000E790B">
        <w:tc>
          <w:tcPr>
            <w:tcW w:w="53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417" w:type="dxa"/>
            <w:gridSpan w:val="7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Сибирский федеральный округ</w:t>
            </w:r>
          </w:p>
        </w:tc>
      </w:tr>
      <w:tr w:rsidR="00FB28B9" w:rsidRPr="00FB28B9" w:rsidTr="000E790B">
        <w:tc>
          <w:tcPr>
            <w:tcW w:w="53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1871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Томская область</w:t>
            </w:r>
          </w:p>
        </w:tc>
        <w:tc>
          <w:tcPr>
            <w:tcW w:w="85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14,35</w:t>
            </w:r>
          </w:p>
        </w:tc>
        <w:tc>
          <w:tcPr>
            <w:tcW w:w="85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11,31</w:t>
            </w:r>
          </w:p>
        </w:tc>
        <w:tc>
          <w:tcPr>
            <w:tcW w:w="85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12,85</w:t>
            </w:r>
          </w:p>
        </w:tc>
        <w:tc>
          <w:tcPr>
            <w:tcW w:w="737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69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15,33</w:t>
            </w:r>
          </w:p>
        </w:tc>
        <w:tc>
          <w:tcPr>
            <w:tcW w:w="156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Примечание: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1" w:name="P1366"/>
      <w:bookmarkEnd w:id="11"/>
      <w:r w:rsidRPr="00FB28B9">
        <w:rPr>
          <w:rFonts w:ascii="Calibri" w:eastAsia="Times New Roman" w:hAnsi="Calibri" w:cs="Calibri"/>
          <w:szCs w:val="20"/>
          <w:lang w:eastAsia="ru-RU"/>
        </w:rPr>
        <w:t xml:space="preserve">1. При определении сметной стоимости строительства объектов, расположенных в районах Крайнего Севера или местностях, приравненных к районам Крайнего Севера (с использованием соответствующих нормативов накладных расходов, предусмотренных </w:t>
      </w:r>
      <w:hyperlink r:id="rId19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Методикой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N 812/пр), для учета повышенной нормы накладных расходов к индексам изменения сметной стоимости строительно-монтажных работ (к ФЕР) следует применять следующие коэффициенты: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районов Крайнего Севера - 1,007;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местностей, приравненных к районам Крайнего Севера, - 1,005.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2" w:name="P1369"/>
      <w:bookmarkEnd w:id="12"/>
      <w:r w:rsidRPr="00FB28B9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строительно-монтажных работ применимы только к указанной ценовой зоне.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3" w:name="P1370"/>
      <w:bookmarkEnd w:id="13"/>
      <w:r w:rsidRPr="00FB28B9">
        <w:rPr>
          <w:rFonts w:ascii="Calibri" w:eastAsia="Times New Roman" w:hAnsi="Calibri" w:cs="Calibri"/>
          <w:szCs w:val="20"/>
          <w:lang w:eastAsia="ru-RU"/>
        </w:rPr>
        <w:lastRenderedPageBreak/>
        <w:t>3.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4" w:name="P1371"/>
      <w:bookmarkEnd w:id="14"/>
      <w:r w:rsidRPr="00FB28B9">
        <w:rPr>
          <w:rFonts w:ascii="Calibri" w:eastAsia="Times New Roman" w:hAnsi="Calibri" w:cs="Calibri"/>
          <w:szCs w:val="20"/>
          <w:lang w:eastAsia="ru-RU"/>
        </w:rPr>
        <w:t>4. Индексы изменения сметной стоимости по графе "Градирня", "Насосная станция", "Здание реактора" применяются для определения сметной стоимости строительно-монтажных работ при строительстве указанных объектов, учитываемой в локальных сметных расчетах, включенных в главу 2 сводного сметного расчета стоимости строительства.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5" w:name="P1372"/>
      <w:bookmarkEnd w:id="15"/>
      <w:r w:rsidRPr="00FB28B9">
        <w:rPr>
          <w:rFonts w:ascii="Calibri" w:eastAsia="Times New Roman" w:hAnsi="Calibri" w:cs="Calibri"/>
          <w:szCs w:val="20"/>
          <w:lang w:eastAsia="ru-RU"/>
        </w:rPr>
        <w:t>5. Индексы изменения сметной стоимости по графе "Здание радиационного источника на территории с сейсмической активностью более 7 баллов" применяются для определения сметной стоимости строительно-монтажных работ, выполняемых при строительстве объектов с наличием радиационного источника на территории с сейсмичностью более 7 баллов, при эксплуатации которого используются радиоактивные вещества или генерируется ионизирующее излучение, учитываемой в главе 2 сводного сметного расчета.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Приложение N 5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от ______________ N ____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ПО ЭЛЕМЕНТАМ ПРЯМЫХ ЗАТРАТ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ПО ОБЪЕКТАМ ИСПОЛЬЗОВАНИЯ АТОМНОЙ ЭНЕРГИИ, ОПРЕДЕЛЯЕМЫХ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С ПРИМЕНЕНИЕМ ФЕДЕРАЛЬНЫХ ЕДИНИЧНЫХ РАСЦЕНОК,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НА IV КВАРТАЛ 2021 ГОДА </w:t>
      </w:r>
      <w:hyperlink w:anchor="P1673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674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Центральный федеральный округ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1814"/>
        <w:gridCol w:w="1277"/>
        <w:gridCol w:w="1277"/>
        <w:gridCol w:w="1277"/>
        <w:gridCol w:w="1282"/>
      </w:tblGrid>
      <w:tr w:rsidR="00FB28B9" w:rsidRPr="00FB28B9" w:rsidTr="000E790B">
        <w:tc>
          <w:tcPr>
            <w:tcW w:w="2098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1814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1674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5113" w:type="dxa"/>
            <w:gridSpan w:val="4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277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Воронежская область</w:t>
            </w:r>
          </w:p>
        </w:tc>
        <w:tc>
          <w:tcPr>
            <w:tcW w:w="1277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Курская область</w:t>
            </w:r>
          </w:p>
        </w:tc>
        <w:tc>
          <w:tcPr>
            <w:tcW w:w="1277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Смоленская область</w:t>
            </w:r>
          </w:p>
        </w:tc>
        <w:tc>
          <w:tcPr>
            <w:tcW w:w="1282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Тверская область</w:t>
            </w:r>
          </w:p>
        </w:tc>
      </w:tr>
      <w:tr w:rsidR="00FB28B9" w:rsidRPr="00FB28B9" w:rsidTr="000E790B">
        <w:tc>
          <w:tcPr>
            <w:tcW w:w="2098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Градирня</w:t>
            </w: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34,80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37,22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42,30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5,12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5,16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5,13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7,45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7,54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7,68</w:t>
            </w:r>
          </w:p>
        </w:tc>
      </w:tr>
      <w:tr w:rsidR="00FB28B9" w:rsidRPr="00FB28B9" w:rsidTr="000E790B">
        <w:tc>
          <w:tcPr>
            <w:tcW w:w="2098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Насосная станция</w:t>
            </w: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34,80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37,22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40,07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42,30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Материалы, </w:t>
            </w: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изделия и конструкции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6,10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6,19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6,02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6,02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10,79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11,06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11,33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11,60</w:t>
            </w:r>
          </w:p>
        </w:tc>
      </w:tr>
      <w:tr w:rsidR="00FB28B9" w:rsidRPr="00FB28B9" w:rsidTr="000E790B">
        <w:tc>
          <w:tcPr>
            <w:tcW w:w="2098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реактора</w:t>
            </w: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34,80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37,22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40,07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42,30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6,09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6,14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6,12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6,07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3,82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3,87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3,92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3,97</w:t>
            </w:r>
          </w:p>
        </w:tc>
      </w:tr>
      <w:tr w:rsidR="00FB28B9" w:rsidRPr="00FB28B9" w:rsidTr="000E790B">
        <w:tc>
          <w:tcPr>
            <w:tcW w:w="2098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Пусконаладочные работы </w:t>
            </w:r>
            <w:hyperlink w:anchor="P1675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676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34,80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37,22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40,07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42,30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098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радиационного источника на территории с сейсмической активностью более 7 баллов</w:t>
            </w: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09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1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28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Северо-Западный федеральный округ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59"/>
        <w:gridCol w:w="2462"/>
        <w:gridCol w:w="1871"/>
        <w:gridCol w:w="2041"/>
      </w:tblGrid>
      <w:tr w:rsidR="00FB28B9" w:rsidRPr="00FB28B9" w:rsidTr="000E790B">
        <w:tc>
          <w:tcPr>
            <w:tcW w:w="2659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2462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1674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3912" w:type="dxa"/>
            <w:gridSpan w:val="2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871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Ленинградская область</w:t>
            </w:r>
          </w:p>
        </w:tc>
        <w:tc>
          <w:tcPr>
            <w:tcW w:w="2041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Мурманская область</w:t>
            </w:r>
          </w:p>
        </w:tc>
      </w:tr>
      <w:tr w:rsidR="00FB28B9" w:rsidRPr="00FB28B9" w:rsidTr="000E790B">
        <w:tc>
          <w:tcPr>
            <w:tcW w:w="2659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Градирня</w:t>
            </w: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42,36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5,14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7,67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Насосная станция</w:t>
            </w: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42,36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5,94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11,60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реактора</w:t>
            </w: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42,36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66,10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6,02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6,44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3,97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5,16</w:t>
            </w:r>
          </w:p>
        </w:tc>
      </w:tr>
      <w:tr w:rsidR="00FB28B9" w:rsidRPr="00FB28B9" w:rsidTr="000E790B">
        <w:tc>
          <w:tcPr>
            <w:tcW w:w="2659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Пусконаладочные работы </w:t>
            </w:r>
            <w:hyperlink w:anchor="P1675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676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42,36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66,10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радиационного источника на территории с сейсмической активностью более 7 баллов</w:t>
            </w: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9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62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187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Южный федеральный округ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54"/>
        <w:gridCol w:w="3855"/>
        <w:gridCol w:w="2549"/>
      </w:tblGrid>
      <w:tr w:rsidR="00FB28B9" w:rsidRPr="00FB28B9" w:rsidTr="000E790B">
        <w:tc>
          <w:tcPr>
            <w:tcW w:w="2654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3855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1674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254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54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Ростовская область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Градирня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39,80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5,13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7,41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Насосная станция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39,80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6,02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11,25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реактора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39,80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6,14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3,78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Пусконаладочные работы </w:t>
            </w:r>
            <w:hyperlink w:anchor="P1675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676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39,80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радиационного источника на территории с сейсмической активностью более 7 баллов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Приволжский федеральный округ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54"/>
        <w:gridCol w:w="3855"/>
        <w:gridCol w:w="2549"/>
      </w:tblGrid>
      <w:tr w:rsidR="00FB28B9" w:rsidRPr="00FB28B9" w:rsidTr="000E790B">
        <w:tc>
          <w:tcPr>
            <w:tcW w:w="2654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3855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1674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254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54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Саратовская область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Градирня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35,28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5,27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7,44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Насосная станция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35,28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6,03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10,78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реактора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35,28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6,15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3,83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Пусконаладочные работы </w:t>
            </w:r>
            <w:hyperlink w:anchor="P1675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676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35,28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Здание радиационного </w:t>
            </w: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источника на территории с сейсмической активностью более 7 баллов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Уральский федеральный округ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54"/>
        <w:gridCol w:w="3855"/>
        <w:gridCol w:w="2549"/>
      </w:tblGrid>
      <w:tr w:rsidR="00FB28B9" w:rsidRPr="00FB28B9" w:rsidTr="000E790B">
        <w:tc>
          <w:tcPr>
            <w:tcW w:w="2654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3855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1674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254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549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Свердловская область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Градирня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43,27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5,16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7,93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Насосная станция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43,27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6,02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11,77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реактора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43,27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6,01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4,14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Пусконаладочные работы </w:t>
            </w:r>
            <w:hyperlink w:anchor="P1675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676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Здание радиационного источника на территории с сейсмической активностью более 7 баллов</w:t>
            </w: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2654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85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549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Примечание: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6" w:name="P1673"/>
      <w:bookmarkEnd w:id="16"/>
      <w:r w:rsidRPr="00FB28B9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применимы только к указанной ценовой зоне.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7" w:name="P1674"/>
      <w:bookmarkEnd w:id="17"/>
      <w:r w:rsidRPr="00FB28B9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по строке "Градирня", "Насосная станция", "Здание реактора" применяются для определения сметной стоимости по элементам прямых затрат при строительстве указанных объектов, учитываемой в локальных сметных расчетах, включенных в главу 2 сводного сметного расчета стоимости строительства.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8" w:name="P1675"/>
      <w:bookmarkEnd w:id="18"/>
      <w:r w:rsidRPr="00FB28B9">
        <w:rPr>
          <w:rFonts w:ascii="Calibri" w:eastAsia="Times New Roman" w:hAnsi="Calibri" w:cs="Calibri"/>
          <w:szCs w:val="20"/>
          <w:lang w:eastAsia="ru-RU"/>
        </w:rPr>
        <w:lastRenderedPageBreak/>
        <w:t>3. Индексы изменения сметной стоимости по строке "Пусконаладочные работы" применяются к итогам сметной стоимости пусконаладочных работ по объектному сметному расчету, составленному для определения сметной стоимости указанного вида объекта в базисном уровне цен.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9" w:name="P1676"/>
      <w:bookmarkEnd w:id="19"/>
      <w:r w:rsidRPr="00FB28B9">
        <w:rPr>
          <w:rFonts w:ascii="Calibri" w:eastAsia="Times New Roman" w:hAnsi="Calibri" w:cs="Calibri"/>
          <w:szCs w:val="20"/>
          <w:lang w:eastAsia="ru-RU"/>
        </w:rPr>
        <w:t>4. Индексы изменения сметной стоимости по строке "Пусконаладочные работы" предназначены для определения сметной стоимости пусконаладочных работ по инженерным системам, устройствам и оборудованию, расположенным в объектах использования атомной энергии, при проведении которых нормативными документами, устанавливающими требования к ядерной безопасности объектов, предусмотрены особые требования к порядку их проведения и к пусконаладочному персоналу, осуществляющему такие работы.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Приложение N 6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от ______________ N ____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ПО ЭЛЕМЕНТАМ ПРЯМЫХ ЗАТРАТ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ПО ОБЪЕКТАМ СТРОИТЕЛЬСТВА, ОПРЕДЕЛЯЕМЫХ С ПРИМЕНЕНИЕМ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ФЕДЕРАЛЬНЫХ ЕДИНИЧНЫХ РАСЦЕНОК, НА IV КВАРТАЛ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2021 ГОДА </w:t>
      </w:r>
      <w:hyperlink w:anchor="P1713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714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Дальневосточный федеральный округ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06"/>
        <w:gridCol w:w="2405"/>
        <w:gridCol w:w="2041"/>
        <w:gridCol w:w="2098"/>
      </w:tblGrid>
      <w:tr w:rsidR="00FB28B9" w:rsidRPr="00FB28B9" w:rsidTr="000E790B">
        <w:tc>
          <w:tcPr>
            <w:tcW w:w="2506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2405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Элемент прямых затрат </w:t>
            </w:r>
            <w:hyperlink w:anchor="P1714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&lt;2&gt;</w:t>
              </w:r>
            </w:hyperlink>
          </w:p>
        </w:tc>
        <w:tc>
          <w:tcPr>
            <w:tcW w:w="4139" w:type="dxa"/>
            <w:gridSpan w:val="2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FB28B9" w:rsidRPr="00FB28B9" w:rsidTr="000E790B">
        <w:tc>
          <w:tcPr>
            <w:tcW w:w="2506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05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041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(3 зона)</w:t>
            </w:r>
          </w:p>
        </w:tc>
        <w:tc>
          <w:tcPr>
            <w:tcW w:w="209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(11 зона)</w:t>
            </w:r>
          </w:p>
        </w:tc>
      </w:tr>
      <w:tr w:rsidR="00FB28B9" w:rsidRPr="00FB28B9" w:rsidTr="000E790B">
        <w:tc>
          <w:tcPr>
            <w:tcW w:w="2506" w:type="dxa"/>
            <w:vMerge w:val="restart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Объекты строительства алмазодобывающей промышленности. Подземные рудники </w:t>
            </w:r>
            <w:hyperlink w:anchor="P1715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&lt;3&gt;</w:t>
              </w:r>
            </w:hyperlink>
          </w:p>
        </w:tc>
        <w:tc>
          <w:tcPr>
            <w:tcW w:w="240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Оплата труда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76,87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94,97</w:t>
            </w:r>
          </w:p>
        </w:tc>
      </w:tr>
      <w:tr w:rsidR="00FB28B9" w:rsidRPr="00FB28B9" w:rsidTr="000E790B">
        <w:tc>
          <w:tcPr>
            <w:tcW w:w="2506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0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Материалы, изделия и конструкции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14,29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15,37</w:t>
            </w:r>
          </w:p>
        </w:tc>
      </w:tr>
      <w:tr w:rsidR="00FB28B9" w:rsidRPr="00FB28B9" w:rsidTr="000E790B">
        <w:tc>
          <w:tcPr>
            <w:tcW w:w="2506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40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Эксплуатация машин и механизмов</w:t>
            </w:r>
          </w:p>
        </w:tc>
        <w:tc>
          <w:tcPr>
            <w:tcW w:w="2041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25,44</w:t>
            </w:r>
          </w:p>
        </w:tc>
        <w:tc>
          <w:tcPr>
            <w:tcW w:w="209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25,89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0" w:name="P1713"/>
      <w:bookmarkEnd w:id="20"/>
      <w:r w:rsidRPr="00FB28B9">
        <w:rPr>
          <w:rFonts w:ascii="Calibri" w:eastAsia="Times New Roman" w:hAnsi="Calibri" w:cs="Calibri"/>
          <w:szCs w:val="20"/>
          <w:lang w:eastAsia="ru-RU"/>
        </w:rPr>
        <w:t>1. Индексы изменения сметной стоимости применимы только к указанной ценовой зоне.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1" w:name="P1714"/>
      <w:bookmarkEnd w:id="21"/>
      <w:r w:rsidRPr="00FB28B9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по строке "Оплата труда" разработаны с учетом районных коэффициентов к заработной плате и применяются к соответствующей величине затрат на оплату труда рабочих-строителей, на оплату труда пусконаладочного персонала и на оплату труда рабочих, занятых на управлении машинами и механизмами.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2" w:name="P1715"/>
      <w:bookmarkEnd w:id="22"/>
      <w:r w:rsidRPr="00FB28B9">
        <w:rPr>
          <w:rFonts w:ascii="Calibri" w:eastAsia="Times New Roman" w:hAnsi="Calibri" w:cs="Calibri"/>
          <w:szCs w:val="20"/>
          <w:lang w:eastAsia="ru-RU"/>
        </w:rPr>
        <w:lastRenderedPageBreak/>
        <w:t>3. Индексы изменения сметной стоимости по строке "Объекты строительства алмазодобывающей промышленности. Подземные рудники" применяются для определения сметной стоимости по элементам прямых затрат при строительстве указанных объектов, учитываемой в локальных сметных расчетах, включенных в главу 2 сводного сметного расчета стоимости строительства.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Приложение N 7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от ______________ N ____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ИЗМЕНЕНИЯ СМЕТНОЙ СТОИМОСТИ ЛИНЕЙНЫХ ОБЪЕКТОВ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КАПИТАЛЬНОГО СТРОИТЕЛЬСТВА - ВЫСОКОВОЛЬТНЫХ ЛИНИЙ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ЭЛЕКТРОПЕРЕДАЧИ К СМЕТНО-НОРМАТИВНОЙ БАЗЕ ФЕР-2001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НА IV КВАРТАЛ 2021 ГОДА </w:t>
      </w:r>
      <w:hyperlink w:anchor="P1782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785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&lt;2&gt;</w:t>
        </w:r>
      </w:hyperlink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, </w:t>
      </w:r>
      <w:hyperlink w:anchor="P1786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&lt;3&gt;</w:t>
        </w:r>
      </w:hyperlink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(без НДС)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8"/>
        <w:gridCol w:w="2835"/>
        <w:gridCol w:w="1134"/>
        <w:gridCol w:w="1594"/>
        <w:gridCol w:w="1594"/>
        <w:gridCol w:w="1304"/>
      </w:tblGrid>
      <w:tr w:rsidR="00FB28B9" w:rsidRPr="00FB28B9" w:rsidTr="000E790B">
        <w:tc>
          <w:tcPr>
            <w:tcW w:w="538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2835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5626" w:type="dxa"/>
            <w:gridSpan w:val="4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к ФЕР-2001</w:t>
            </w:r>
          </w:p>
        </w:tc>
      </w:tr>
      <w:tr w:rsidR="00FB28B9" w:rsidRPr="00FB28B9" w:rsidTr="000E790B">
        <w:tc>
          <w:tcPr>
            <w:tcW w:w="538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2835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13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Высоковольтные линии электропередачи 35 кВ </w:t>
            </w:r>
            <w:hyperlink w:anchor="P1787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&lt;4&gt;</w:t>
              </w:r>
            </w:hyperlink>
          </w:p>
        </w:tc>
        <w:tc>
          <w:tcPr>
            <w:tcW w:w="159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Высоковольтные линии электропередачи 110 кВ на железобетонных опорах </w:t>
            </w:r>
            <w:hyperlink w:anchor="P1792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&lt;5&gt;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793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&lt;6&gt;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798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&lt;8&gt;</w:t>
              </w:r>
            </w:hyperlink>
          </w:p>
        </w:tc>
        <w:tc>
          <w:tcPr>
            <w:tcW w:w="159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Высоковольтные линии электропередачи 110 кВ на металлических опорах </w:t>
            </w:r>
            <w:hyperlink w:anchor="P1792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&lt;5&gt;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794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&lt;7&gt;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798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&lt;8&gt;</w:t>
              </w:r>
            </w:hyperlink>
          </w:p>
        </w:tc>
        <w:tc>
          <w:tcPr>
            <w:tcW w:w="130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Высоковольтные линии электропередачи 220 кВ </w:t>
            </w:r>
            <w:hyperlink w:anchor="P1808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&lt;9&gt;</w:t>
              </w:r>
            </w:hyperlink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</w:t>
            </w:r>
            <w:hyperlink w:anchor="P1811" w:history="1">
              <w:r w:rsidRPr="00FB28B9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&lt;10&gt;</w:t>
              </w:r>
            </w:hyperlink>
          </w:p>
        </w:tc>
      </w:tr>
      <w:tr w:rsidR="00FB28B9" w:rsidRPr="00FB28B9" w:rsidTr="000E790B">
        <w:tc>
          <w:tcPr>
            <w:tcW w:w="538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835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113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59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159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130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</w:tr>
      <w:tr w:rsidR="00FB28B9" w:rsidRPr="00FB28B9" w:rsidTr="000E790B">
        <w:tc>
          <w:tcPr>
            <w:tcW w:w="5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461" w:type="dxa"/>
            <w:gridSpan w:val="5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Северо-Кавказский федеральный округ</w:t>
            </w:r>
          </w:p>
        </w:tc>
      </w:tr>
      <w:tr w:rsidR="00FB28B9" w:rsidRPr="00FB28B9" w:rsidTr="000E790B">
        <w:tc>
          <w:tcPr>
            <w:tcW w:w="5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Кабардино-Балкарская Республика</w:t>
            </w:r>
          </w:p>
        </w:tc>
        <w:tc>
          <w:tcPr>
            <w:tcW w:w="113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9,61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0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5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283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Чеченская Республика</w:t>
            </w:r>
          </w:p>
        </w:tc>
        <w:tc>
          <w:tcPr>
            <w:tcW w:w="113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8,85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9,06</w:t>
            </w:r>
          </w:p>
        </w:tc>
        <w:tc>
          <w:tcPr>
            <w:tcW w:w="130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</w:tr>
      <w:tr w:rsidR="00FB28B9" w:rsidRPr="00FB28B9" w:rsidTr="000E790B">
        <w:tc>
          <w:tcPr>
            <w:tcW w:w="5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II</w:t>
            </w:r>
          </w:p>
        </w:tc>
        <w:tc>
          <w:tcPr>
            <w:tcW w:w="8461" w:type="dxa"/>
            <w:gridSpan w:val="5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Дальневосточный федеральный округ</w:t>
            </w:r>
          </w:p>
        </w:tc>
      </w:tr>
      <w:tr w:rsidR="00FB28B9" w:rsidRPr="00FB28B9" w:rsidTr="000E790B">
        <w:tc>
          <w:tcPr>
            <w:tcW w:w="5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283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Республика Саха (Якутия) (2 зона)</w:t>
            </w:r>
          </w:p>
        </w:tc>
        <w:tc>
          <w:tcPr>
            <w:tcW w:w="113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0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12,12</w:t>
            </w:r>
          </w:p>
        </w:tc>
      </w:tr>
      <w:tr w:rsidR="00FB28B9" w:rsidRPr="00FB28B9" w:rsidTr="000E790B">
        <w:tc>
          <w:tcPr>
            <w:tcW w:w="5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283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Забайкальский край</w:t>
            </w:r>
          </w:p>
        </w:tc>
        <w:tc>
          <w:tcPr>
            <w:tcW w:w="113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0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10,58</w:t>
            </w:r>
          </w:p>
        </w:tc>
      </w:tr>
      <w:tr w:rsidR="00FB28B9" w:rsidRPr="00FB28B9" w:rsidTr="000E790B">
        <w:tc>
          <w:tcPr>
            <w:tcW w:w="538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283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Амурская область</w:t>
            </w:r>
          </w:p>
        </w:tc>
        <w:tc>
          <w:tcPr>
            <w:tcW w:w="113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59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-</w:t>
            </w:r>
          </w:p>
        </w:tc>
        <w:tc>
          <w:tcPr>
            <w:tcW w:w="130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11,35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Примечания: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3" w:name="P1782"/>
      <w:bookmarkEnd w:id="23"/>
      <w:r w:rsidRPr="00FB28B9">
        <w:rPr>
          <w:rFonts w:ascii="Calibri" w:eastAsia="Times New Roman" w:hAnsi="Calibri" w:cs="Calibri"/>
          <w:szCs w:val="20"/>
          <w:lang w:eastAsia="ru-RU"/>
        </w:rPr>
        <w:lastRenderedPageBreak/>
        <w:t xml:space="preserve">1. При определении сметной стоимости строительства объектов, расположенных в районах Крайнего Севера или местностях, приравненных к районам Крайнего Севера (с использованием соответствующих нормативов накладных расходов, предусмотренных </w:t>
      </w:r>
      <w:hyperlink r:id="rId20" w:history="1">
        <w:r w:rsidRPr="00FB28B9">
          <w:rPr>
            <w:rFonts w:ascii="Calibri" w:eastAsia="Times New Roman" w:hAnsi="Calibri" w:cs="Calibri"/>
            <w:color w:val="0000FF"/>
            <w:szCs w:val="20"/>
            <w:lang w:eastAsia="ru-RU"/>
          </w:rPr>
          <w:t>Методикой</w:t>
        </w:r>
      </w:hyperlink>
      <w:r w:rsidRPr="00FB28B9">
        <w:rPr>
          <w:rFonts w:ascii="Calibri" w:eastAsia="Times New Roman" w:hAnsi="Calibri" w:cs="Calibri"/>
          <w:szCs w:val="20"/>
          <w:lang w:eastAsia="ru-RU"/>
        </w:rPr>
        <w:t xml:space="preserve"> по разработке и применению нормативов накладных расходов при определении сметной стоимости строительства, реконструкции, капитального ремонта, сноса объектов капитального строительства, утвержденной приказом Минстроя России от 21.12.2020 N 812/пр), для учета повышенной нормы накладных расходов к индексам изменения сметной стоимости строительно-монтажных работ (к ФЕР) следует применять следующие коэффициенты: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районов Крайнего Севера - 1,007;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местностей, приравненных к районам Крайнего Севера, - 1,005.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4" w:name="P1785"/>
      <w:bookmarkEnd w:id="24"/>
      <w:r w:rsidRPr="00FB28B9">
        <w:rPr>
          <w:rFonts w:ascii="Calibri" w:eastAsia="Times New Roman" w:hAnsi="Calibri" w:cs="Calibri"/>
          <w:szCs w:val="20"/>
          <w:lang w:eastAsia="ru-RU"/>
        </w:rPr>
        <w:t>2. Индексы изменения сметной стоимости строительно-монтажных работ применимы только к указанной ценовой зоне.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5" w:name="P1786"/>
      <w:bookmarkEnd w:id="25"/>
      <w:r w:rsidRPr="00FB28B9">
        <w:rPr>
          <w:rFonts w:ascii="Calibri" w:eastAsia="Times New Roman" w:hAnsi="Calibri" w:cs="Calibri"/>
          <w:szCs w:val="20"/>
          <w:lang w:eastAsia="ru-RU"/>
        </w:rPr>
        <w:t>3. Индексы изменения сметной стоимости строительно-монтажных работ применяются к базисной стоимости работ, учитывающей прямые затраты, накладные расходы и сметную прибыль.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6" w:name="P1787"/>
      <w:bookmarkEnd w:id="26"/>
      <w:r w:rsidRPr="00FB28B9">
        <w:rPr>
          <w:rFonts w:ascii="Calibri" w:eastAsia="Times New Roman" w:hAnsi="Calibri" w:cs="Calibri"/>
          <w:szCs w:val="20"/>
          <w:lang w:eastAsia="ru-RU"/>
        </w:rPr>
        <w:t>4. Для учета усложняющих условий производства работ по устройству просеки применяются следующие коэффициенты, учитывающие количество деревьев, приходящихся на 1 га просеки: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200 деревьев/га - 1,07;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500 деревьев/га - 1,17;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1000 деревьев/га - 1,30.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Указанные коэффициенты применяются отдельно по участкам строительства, для которых характерны такие условия. Одновременное применение различных коэффициентов на одном участке строительства не допускается.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7" w:name="P1792"/>
      <w:bookmarkEnd w:id="27"/>
      <w:r w:rsidRPr="00FB28B9">
        <w:rPr>
          <w:rFonts w:ascii="Calibri" w:eastAsia="Times New Roman" w:hAnsi="Calibri" w:cs="Calibri"/>
          <w:szCs w:val="20"/>
          <w:lang w:eastAsia="ru-RU"/>
        </w:rPr>
        <w:t>5. Индексы изменения сметной стоимости строительства разработаны исходя из условий определения сметной стоимости строительства воздушных линий электропередач, в которых сооружениями для удержания проводов, грозозащитных тросов являются решетчатые или железобетонные опоры.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8" w:name="P1793"/>
      <w:bookmarkEnd w:id="28"/>
      <w:r w:rsidRPr="00FB28B9">
        <w:rPr>
          <w:rFonts w:ascii="Calibri" w:eastAsia="Times New Roman" w:hAnsi="Calibri" w:cs="Calibri"/>
          <w:szCs w:val="20"/>
          <w:lang w:eastAsia="ru-RU"/>
        </w:rPr>
        <w:t>6. Индексы "Высоковольтные линии электропередачи 110 кВ на железобетонных опорах" применяются при условии строительства высоковольтных линий электропередачи 110 кВ с долей промежуточных железобетонных опор более 50%.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9" w:name="P1794"/>
      <w:bookmarkEnd w:id="29"/>
      <w:r w:rsidRPr="00FB28B9">
        <w:rPr>
          <w:rFonts w:ascii="Calibri" w:eastAsia="Times New Roman" w:hAnsi="Calibri" w:cs="Calibri"/>
          <w:szCs w:val="20"/>
          <w:lang w:eastAsia="ru-RU"/>
        </w:rPr>
        <w:t>7. Для учета усложняющих условий производства работ по устройству фундаментов под опоры (в том числе к стоимости земляных работ, работ по устройству заземления) для индексов "Высоковольтные линии электропередачи 110 кВ на металлических опорах" применяются следующие коэффициенты: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заболоченных территорий - 0,84;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затопляемых (обводненных) территорий - 1,15;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мерзлых и пучинистых грунтов - 1,09.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0" w:name="P1798"/>
      <w:bookmarkEnd w:id="30"/>
      <w:r w:rsidRPr="00FB28B9">
        <w:rPr>
          <w:rFonts w:ascii="Calibri" w:eastAsia="Times New Roman" w:hAnsi="Calibri" w:cs="Calibri"/>
          <w:szCs w:val="20"/>
          <w:lang w:eastAsia="ru-RU"/>
        </w:rPr>
        <w:t xml:space="preserve">8. Для учета усложняющих условий производства работ по устройству просеки применяются </w:t>
      </w:r>
      <w:r w:rsidRPr="00FB28B9">
        <w:rPr>
          <w:rFonts w:ascii="Calibri" w:eastAsia="Times New Roman" w:hAnsi="Calibri" w:cs="Calibri"/>
          <w:szCs w:val="20"/>
          <w:lang w:eastAsia="ru-RU"/>
        </w:rPr>
        <w:lastRenderedPageBreak/>
        <w:t>следующие коэффициенты, учитывающие количество деревьев, приходящихся на 1 га просеки: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для индексов "Высоковольтные линии электропередачи 110 кВ на металлических опорах":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200 деревьев/га - 1,11;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500 деревьев/га - 1,25;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1000 деревьев/га - 1,44;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для индексов "Высоковольтные линии электропередачи 110 кВ на железобетонных опорах":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200 деревьев/га - 1,18;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500 деревьев/га - 1,39;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1000 деревьев/га - 1,64.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Указанные коэффициенты применяются отдельно по участкам строительства, для которых характерны такие условия. Одновременное применение различных коэффициентов на одном участке строительства не допускается.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1" w:name="P1808"/>
      <w:bookmarkEnd w:id="31"/>
      <w:r w:rsidRPr="00FB28B9">
        <w:rPr>
          <w:rFonts w:ascii="Calibri" w:eastAsia="Times New Roman" w:hAnsi="Calibri" w:cs="Calibri"/>
          <w:szCs w:val="20"/>
          <w:lang w:eastAsia="ru-RU"/>
        </w:rPr>
        <w:t>9. Для учета усложняющих условий производства работ по устройству фундаментов под опоры (в том числе к стоимости земляных работ, работ по устройству заземления) применяются следующие коэффициенты: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затопляемых (обводненных) территорий - 1,05;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для мерзлых и пучинистых грунтов - 1,04.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2" w:name="P1811"/>
      <w:bookmarkEnd w:id="32"/>
      <w:r w:rsidRPr="00FB28B9">
        <w:rPr>
          <w:rFonts w:ascii="Calibri" w:eastAsia="Times New Roman" w:hAnsi="Calibri" w:cs="Calibri"/>
          <w:szCs w:val="20"/>
          <w:lang w:eastAsia="ru-RU"/>
        </w:rPr>
        <w:t>10. Для учета усложняющих условий производства работ по устройству просеки применяются следующие коэффициенты, учитывающие количество деревьев, приходящихся на 1 га просеки: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200 деревьев/га - 1,05;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500 деревьев/га - 1,12;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- от 1000 деревьев/га - 1,23.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Указанные коэффициенты применяются отдельно по участкам строительства, для которых характерны такие условия. Одновременное применение различных коэффициентов на одном участке строительства не допускается.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Приложение N 8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к письму Минстроя России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от ______________ N ____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ИНДЕКСЫ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ИЗМЕНЕНИЯ СМЕТНЫХ ЦЕН УСЛУГ НА ПЕРЕВОЗКУ ГРУЗОВ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lastRenderedPageBreak/>
        <w:t>ДЛЯ СТРОИТЕЛЬСТВА АВТОМОБИЛЬНЫМ ТРАНСПОРТОМ, ОПРЕДЕЛЯЕМЫХ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>С ПРИМЕНЕНИЕМ ФЕДЕРАЛЬНЫХ ЕДИНИЧНЫХ РАСЦЕНОК,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FB28B9">
        <w:rPr>
          <w:rFonts w:ascii="Calibri" w:eastAsia="Times New Roman" w:hAnsi="Calibri" w:cs="Calibri"/>
          <w:b/>
          <w:szCs w:val="20"/>
          <w:lang w:eastAsia="ru-RU"/>
        </w:rPr>
        <w:t xml:space="preserve">НА IV КВАРТАЛ 2021 ГОДА </w:t>
      </w:r>
      <w:hyperlink w:anchor="P1857" w:history="1">
        <w:r w:rsidRPr="00FB28B9">
          <w:rPr>
            <w:rFonts w:ascii="Calibri" w:eastAsia="Times New Roman" w:hAnsi="Calibri" w:cs="Calibri"/>
            <w:b/>
            <w:color w:val="0000FF"/>
            <w:szCs w:val="20"/>
            <w:lang w:eastAsia="ru-RU"/>
          </w:rPr>
          <w:t>&lt;1&gt;</w:t>
        </w:r>
      </w:hyperlink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005"/>
        <w:gridCol w:w="1085"/>
        <w:gridCol w:w="1090"/>
        <w:gridCol w:w="1090"/>
        <w:gridCol w:w="1085"/>
        <w:gridCol w:w="1104"/>
      </w:tblGrid>
      <w:tr w:rsidR="00FB28B9" w:rsidRPr="00FB28B9" w:rsidTr="000E790B">
        <w:tc>
          <w:tcPr>
            <w:tcW w:w="510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N п/п</w:t>
            </w:r>
          </w:p>
        </w:tc>
        <w:tc>
          <w:tcPr>
            <w:tcW w:w="3005" w:type="dxa"/>
            <w:vMerge w:val="restart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Субъект Российской Федерации</w:t>
            </w:r>
          </w:p>
        </w:tc>
        <w:tc>
          <w:tcPr>
            <w:tcW w:w="5454" w:type="dxa"/>
            <w:gridSpan w:val="5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Индексы по типам автотранспортных средств</w:t>
            </w:r>
          </w:p>
        </w:tc>
      </w:tr>
      <w:tr w:rsidR="00FB28B9" w:rsidRPr="00FB28B9" w:rsidTr="000E790B">
        <w:tc>
          <w:tcPr>
            <w:tcW w:w="510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3005" w:type="dxa"/>
            <w:vMerge/>
          </w:tcPr>
          <w:p w:rsidR="00FB28B9" w:rsidRPr="00FB28B9" w:rsidRDefault="00FB28B9" w:rsidP="00FB28B9">
            <w:pPr>
              <w:rPr>
                <w:rFonts w:eastAsia="Times New Roman" w:cs="Times New Roman"/>
              </w:rPr>
            </w:pPr>
          </w:p>
        </w:tc>
        <w:tc>
          <w:tcPr>
            <w:tcW w:w="1085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Автомобили бортовые</w:t>
            </w:r>
          </w:p>
        </w:tc>
        <w:tc>
          <w:tcPr>
            <w:tcW w:w="109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Автомобили-самосвалы</w:t>
            </w:r>
          </w:p>
        </w:tc>
        <w:tc>
          <w:tcPr>
            <w:tcW w:w="109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Автомобили-панелевозы</w:t>
            </w:r>
          </w:p>
        </w:tc>
        <w:tc>
          <w:tcPr>
            <w:tcW w:w="1085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Автомобили-трубоплетевозы</w:t>
            </w:r>
          </w:p>
        </w:tc>
        <w:tc>
          <w:tcPr>
            <w:tcW w:w="110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Автобетоносмесители</w:t>
            </w:r>
          </w:p>
        </w:tc>
      </w:tr>
      <w:tr w:rsidR="00FB28B9" w:rsidRPr="00FB28B9" w:rsidTr="000E790B">
        <w:tc>
          <w:tcPr>
            <w:tcW w:w="51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3005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2</w:t>
            </w:r>
          </w:p>
        </w:tc>
        <w:tc>
          <w:tcPr>
            <w:tcW w:w="1085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3</w:t>
            </w:r>
          </w:p>
        </w:tc>
        <w:tc>
          <w:tcPr>
            <w:tcW w:w="109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4</w:t>
            </w:r>
          </w:p>
        </w:tc>
        <w:tc>
          <w:tcPr>
            <w:tcW w:w="1090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5</w:t>
            </w:r>
          </w:p>
        </w:tc>
        <w:tc>
          <w:tcPr>
            <w:tcW w:w="1085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6</w:t>
            </w:r>
          </w:p>
        </w:tc>
        <w:tc>
          <w:tcPr>
            <w:tcW w:w="1104" w:type="dxa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</w:t>
            </w:r>
          </w:p>
        </w:tc>
      </w:tr>
      <w:tr w:rsidR="00FB28B9" w:rsidRPr="00FB28B9" w:rsidTr="000E790B">
        <w:tc>
          <w:tcPr>
            <w:tcW w:w="510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I</w:t>
            </w:r>
          </w:p>
        </w:tc>
        <w:tc>
          <w:tcPr>
            <w:tcW w:w="8459" w:type="dxa"/>
            <w:gridSpan w:val="6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Центральный федеральный округ</w:t>
            </w:r>
          </w:p>
        </w:tc>
      </w:tr>
      <w:tr w:rsidR="00FB28B9" w:rsidRPr="00FB28B9" w:rsidTr="000E790B">
        <w:tc>
          <w:tcPr>
            <w:tcW w:w="510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</w:t>
            </w:r>
          </w:p>
        </w:tc>
        <w:tc>
          <w:tcPr>
            <w:tcW w:w="300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Владимирская область</w:t>
            </w:r>
          </w:p>
        </w:tc>
        <w:tc>
          <w:tcPr>
            <w:tcW w:w="108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10,78</w:t>
            </w:r>
          </w:p>
        </w:tc>
        <w:tc>
          <w:tcPr>
            <w:tcW w:w="1090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9,35</w:t>
            </w:r>
          </w:p>
        </w:tc>
        <w:tc>
          <w:tcPr>
            <w:tcW w:w="1090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9,94</w:t>
            </w:r>
          </w:p>
        </w:tc>
        <w:tc>
          <w:tcPr>
            <w:tcW w:w="1085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7,56</w:t>
            </w:r>
          </w:p>
        </w:tc>
        <w:tc>
          <w:tcPr>
            <w:tcW w:w="1104" w:type="dxa"/>
            <w:vAlign w:val="center"/>
          </w:tcPr>
          <w:p w:rsidR="00FB28B9" w:rsidRPr="00FB28B9" w:rsidRDefault="00FB28B9" w:rsidP="00FB28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FB28B9">
              <w:rPr>
                <w:rFonts w:ascii="Calibri" w:eastAsia="Times New Roman" w:hAnsi="Calibri" w:cs="Calibri"/>
                <w:szCs w:val="20"/>
                <w:lang w:eastAsia="ru-RU"/>
              </w:rPr>
              <w:t>7,76</w:t>
            </w:r>
          </w:p>
        </w:tc>
      </w:tr>
    </w:tbl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FB28B9">
        <w:rPr>
          <w:rFonts w:ascii="Calibri" w:eastAsia="Times New Roman" w:hAnsi="Calibri" w:cs="Calibri"/>
          <w:szCs w:val="20"/>
          <w:lang w:eastAsia="ru-RU"/>
        </w:rPr>
        <w:t>Примечание:</w:t>
      </w:r>
    </w:p>
    <w:p w:rsidR="00FB28B9" w:rsidRPr="00FB28B9" w:rsidRDefault="00FB28B9" w:rsidP="00FB28B9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3" w:name="P1857"/>
      <w:bookmarkEnd w:id="33"/>
      <w:r w:rsidRPr="00FB28B9">
        <w:rPr>
          <w:rFonts w:ascii="Calibri" w:eastAsia="Times New Roman" w:hAnsi="Calibri" w:cs="Calibri"/>
          <w:szCs w:val="20"/>
          <w:lang w:eastAsia="ru-RU"/>
        </w:rPr>
        <w:t>1. Индексы изменения сметных цен услуг на перевозку грузов для строительства автомобильным транспортом применимы только к указанной ценовой зоне.</w:t>
      </w: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FB28B9" w:rsidRPr="00FB28B9" w:rsidRDefault="00FB28B9" w:rsidP="00FB28B9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087EFD" w:rsidRDefault="00FB28B9">
      <w:bookmarkStart w:id="34" w:name="_GoBack"/>
      <w:bookmarkEnd w:id="34"/>
    </w:p>
    <w:sectPr w:rsidR="00087EFD" w:rsidSect="00DC29FD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AAF"/>
    <w:rsid w:val="001F4501"/>
    <w:rsid w:val="00210AAF"/>
    <w:rsid w:val="00BC1D5D"/>
    <w:rsid w:val="00FB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CC1C19-A96C-43DB-9413-5D2BC5CFE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B28B9"/>
  </w:style>
  <w:style w:type="paragraph" w:customStyle="1" w:styleId="ConsPlusNormal">
    <w:name w:val="ConsPlusNormal"/>
    <w:rsid w:val="00FB28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B28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B28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B28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B28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B28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B28B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B28B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B1CCA77D7029C0BC30DFA53A11116F8C49C2DF8D21BC0299FA4A9499326055CA9AB23BB2FAA91E2FE6EE8125f877F" TargetMode="External"/><Relationship Id="rId13" Type="http://schemas.openxmlformats.org/officeDocument/2006/relationships/hyperlink" Target="consultantplus://offline/ref=6EB1CCA77D7029C0BC30DFA53A11116F8C49C0DA8624BC0299FA4A9499326055CA9AB23BB2FAA91E2FE6EE8125f877F" TargetMode="External"/><Relationship Id="rId18" Type="http://schemas.openxmlformats.org/officeDocument/2006/relationships/hyperlink" Target="consultantplus://offline/ref=6EB1CCA77D7029C0BC30DFA53A11116F8B40C7DC8724BC0299FA4A9499326055D89AEA37B3FAB71E27F3B8D063D0C8052E4854CB1C682A3DfC7E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6EB1CCA77D7029C0BC30DFA53A11116F8C49C3DF822EBC0299FA4A9499326055CA9AB23BB2FAA91E2FE6EE8125f877F" TargetMode="External"/><Relationship Id="rId12" Type="http://schemas.openxmlformats.org/officeDocument/2006/relationships/hyperlink" Target="consultantplus://offline/ref=6EB1CCA77D7029C0BC30DFA53A11116F8C49C0DF862EBC0299FA4A9499326055CA9AB23BB2FAA91E2FE6EE8125f877F" TargetMode="External"/><Relationship Id="rId17" Type="http://schemas.openxmlformats.org/officeDocument/2006/relationships/hyperlink" Target="consultantplus://offline/ref=6EB1CCA77D7029C0BC30DFA53A11116F8B40C2DC8221BC0299FA4A9499326055D89AEA37B3FAB71F2EF3B8D063D0C8052E4854CB1C682A3DfC7E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EB1CCA77D7029C0BC30DFA53A11116F8B40C9DA8423BC0299FA4A9499326055CA9AB23BB2FAA91E2FE6EE8125f877F" TargetMode="External"/><Relationship Id="rId20" Type="http://schemas.openxmlformats.org/officeDocument/2006/relationships/hyperlink" Target="consultantplus://offline/ref=6EB1CCA77D7029C0BC30DFA53A11116F8B40C7DC8724BC0299FA4A9499326055D89AEA37B3FAB71E27F3B8D063D0C8052E4854CB1C682A3DfC7E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EB1CCA77D7029C0BC30DFA53A11116F8C49C3D38121BC0299FA4A9499326055CA9AB23BB2FAA91E2FE6EE8125f877F" TargetMode="External"/><Relationship Id="rId11" Type="http://schemas.openxmlformats.org/officeDocument/2006/relationships/hyperlink" Target="consultantplus://offline/ref=6EB1CCA77D7029C0BC30DFA53A11116F8C49C0D38120BC0299FA4A9499326055CA9AB23BB2FAA91E2FE6EE8125f877F" TargetMode="External"/><Relationship Id="rId5" Type="http://schemas.openxmlformats.org/officeDocument/2006/relationships/hyperlink" Target="consultantplus://offline/ref=6EB1CCA77D7029C0BC30DFA53A11116F8C49C4D98C23BC0299FA4A9499326055CA9AB23BB2FAA91E2FE6EE8125f877F" TargetMode="External"/><Relationship Id="rId15" Type="http://schemas.openxmlformats.org/officeDocument/2006/relationships/hyperlink" Target="consultantplus://offline/ref=6EB1CCA77D7029C0BC30DFA53A11116F8B40C9DC8720BC0299FA4A9499326055CA9AB23BB2FAA91E2FE6EE8125f877F" TargetMode="External"/><Relationship Id="rId10" Type="http://schemas.openxmlformats.org/officeDocument/2006/relationships/hyperlink" Target="consultantplus://offline/ref=6EB1CCA77D7029C0BC30DFA53A11116F8B4CC7DE8D21BC0299FA4A9499326055CA9AB23BB2FAA91E2FE6EE8125f877F" TargetMode="External"/><Relationship Id="rId19" Type="http://schemas.openxmlformats.org/officeDocument/2006/relationships/hyperlink" Target="consultantplus://offline/ref=6EB1CCA77D7029C0BC30DFA53A11116F8B40C7DC8724BC0299FA4A9499326055D89AEA37B3FAB71E27F3B8D063D0C8052E4854CB1C682A3DfC7EF" TargetMode="External"/><Relationship Id="rId4" Type="http://schemas.openxmlformats.org/officeDocument/2006/relationships/hyperlink" Target="consultantplus://offline/ref=6EB1CCA77D7029C0BC30DFA53A11116F8C49C4D38225BC0299FA4A9499326055CA9AB23BB2FAA91E2FE6EE8125f877F" TargetMode="External"/><Relationship Id="rId9" Type="http://schemas.openxmlformats.org/officeDocument/2006/relationships/hyperlink" Target="consultantplus://offline/ref=6EB1CCA77D7029C0BC30DFA53A11116F8C49C2D9872EBC0299FA4A9499326055CA9AB23BB2FAA91E2FE6EE8125f877F" TargetMode="External"/><Relationship Id="rId14" Type="http://schemas.openxmlformats.org/officeDocument/2006/relationships/hyperlink" Target="consultantplus://offline/ref=6EB1CCA77D7029C0BC30DFA53A11116F8940C1D9842FBC0299FA4A9499326055CA9AB23BB2FAA91E2FE6EE8125f877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5696</Words>
  <Characters>32473</Characters>
  <Application>Microsoft Office Word</Application>
  <DocSecurity>0</DocSecurity>
  <Lines>270</Lines>
  <Paragraphs>76</Paragraphs>
  <ScaleCrop>false</ScaleCrop>
  <Company/>
  <LinksUpToDate>false</LinksUpToDate>
  <CharactersWithSpaces>38093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2022-01-10T06:00:00Z</dcterms:created>
  <dcterms:modified xsi:type="dcterms:W3CDTF">2022-01-10T06:00:00Z</dcterms:modified>
</cp:coreProperties>
</file>